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E61E8" w14:textId="77777777" w:rsidR="00324213" w:rsidRPr="00915020" w:rsidRDefault="00324213" w:rsidP="00324213">
      <w:pPr>
        <w:rPr>
          <w:rFonts w:ascii="Times New Roman" w:hAnsi="Times New Roman" w:cs="Times New Roman"/>
          <w:sz w:val="24"/>
          <w:szCs w:val="24"/>
        </w:rPr>
      </w:pPr>
    </w:p>
    <w:p w14:paraId="5B1EE4A3" w14:textId="77777777" w:rsidR="00324213" w:rsidRPr="00915020" w:rsidRDefault="00BB6358" w:rsidP="00324213">
      <w:pPr>
        <w:pStyle w:val="Ttulo1"/>
        <w:jc w:val="both"/>
        <w:rPr>
          <w:szCs w:val="24"/>
          <w:u w:val="single"/>
          <w:lang w:val="es-AR"/>
        </w:rPr>
      </w:pPr>
      <w:r>
        <w:rPr>
          <w:szCs w:val="24"/>
          <w:u w:val="single"/>
          <w:lang w:val="es-AR"/>
        </w:rPr>
        <w:t xml:space="preserve">CIRCULAR IMPOSITIVA NRO. </w:t>
      </w:r>
      <w:r w:rsidR="005E2DD8">
        <w:rPr>
          <w:szCs w:val="24"/>
          <w:u w:val="single"/>
          <w:lang w:val="es-AR"/>
        </w:rPr>
        <w:t>1227</w:t>
      </w:r>
    </w:p>
    <w:p w14:paraId="4B361582" w14:textId="77777777" w:rsidR="00324213" w:rsidRPr="00915020" w:rsidRDefault="00324213" w:rsidP="00324213">
      <w:pPr>
        <w:pStyle w:val="Textoindependiente"/>
        <w:rPr>
          <w:szCs w:val="24"/>
          <w:u w:val="single"/>
        </w:rPr>
      </w:pPr>
    </w:p>
    <w:p w14:paraId="74E40353" w14:textId="77777777" w:rsidR="00324213" w:rsidRPr="00915020" w:rsidRDefault="00324213" w:rsidP="00324213">
      <w:pPr>
        <w:pStyle w:val="Ttulo5"/>
        <w:jc w:val="both"/>
        <w:rPr>
          <w:b/>
          <w:i/>
          <w:szCs w:val="24"/>
        </w:rPr>
      </w:pPr>
    </w:p>
    <w:p w14:paraId="6A6084F4" w14:textId="1E7B859C" w:rsidR="00324213" w:rsidRPr="00915020" w:rsidRDefault="00324213" w:rsidP="00324213">
      <w:pPr>
        <w:pStyle w:val="Ttulo5"/>
        <w:jc w:val="both"/>
        <w:rPr>
          <w:b/>
          <w:i/>
          <w:szCs w:val="24"/>
        </w:rPr>
      </w:pPr>
      <w:r w:rsidRPr="00915020">
        <w:rPr>
          <w:b/>
          <w:i/>
          <w:szCs w:val="24"/>
        </w:rPr>
        <w:t>Ley</w:t>
      </w:r>
      <w:r w:rsidR="00921EA5">
        <w:rPr>
          <w:b/>
          <w:i/>
          <w:szCs w:val="24"/>
        </w:rPr>
        <w:t xml:space="preserve"> 15.479</w:t>
      </w:r>
      <w:r w:rsidR="00804586">
        <w:rPr>
          <w:b/>
          <w:i/>
          <w:szCs w:val="24"/>
        </w:rPr>
        <w:t xml:space="preserve"> - Res. Normativa</w:t>
      </w:r>
      <w:r w:rsidRPr="00915020">
        <w:rPr>
          <w:b/>
          <w:i/>
          <w:szCs w:val="24"/>
        </w:rPr>
        <w:t xml:space="preserve"> (Buenos Aires) </w:t>
      </w:r>
      <w:r w:rsidR="00804586">
        <w:rPr>
          <w:b/>
          <w:i/>
          <w:szCs w:val="24"/>
        </w:rPr>
        <w:t>11/2024</w:t>
      </w:r>
    </w:p>
    <w:p w14:paraId="13D983F2" w14:textId="18830E8B" w:rsidR="00324213" w:rsidRPr="00915020" w:rsidRDefault="00324213" w:rsidP="00324213">
      <w:pPr>
        <w:pStyle w:val="Ttulo5"/>
        <w:jc w:val="both"/>
        <w:rPr>
          <w:b/>
          <w:i/>
          <w:szCs w:val="24"/>
        </w:rPr>
      </w:pPr>
      <w:r w:rsidRPr="00915020">
        <w:rPr>
          <w:b/>
          <w:i/>
          <w:szCs w:val="24"/>
        </w:rPr>
        <w:t>Fecha de Norma: 11/01/2024</w:t>
      </w:r>
      <w:r w:rsidR="00804586">
        <w:rPr>
          <w:b/>
          <w:i/>
          <w:szCs w:val="24"/>
        </w:rPr>
        <w:t xml:space="preserve"> – 23/02/2024</w:t>
      </w:r>
    </w:p>
    <w:p w14:paraId="1AA7A5B2" w14:textId="142EA86B" w:rsidR="00324213" w:rsidRPr="00915020" w:rsidRDefault="00324213" w:rsidP="00324213">
      <w:pPr>
        <w:pStyle w:val="Ttulo5"/>
        <w:spacing w:line="360" w:lineRule="auto"/>
        <w:ind w:left="708" w:hanging="708"/>
        <w:jc w:val="both"/>
        <w:rPr>
          <w:b/>
          <w:i/>
          <w:szCs w:val="24"/>
        </w:rPr>
      </w:pPr>
      <w:r w:rsidRPr="00915020">
        <w:rPr>
          <w:b/>
          <w:i/>
          <w:szCs w:val="24"/>
        </w:rPr>
        <w:t>Fecha Boletín Oficial: 02/01/2024</w:t>
      </w:r>
      <w:r w:rsidR="00804586">
        <w:rPr>
          <w:b/>
          <w:i/>
          <w:szCs w:val="24"/>
        </w:rPr>
        <w:t xml:space="preserve"> – 28/02/2024</w:t>
      </w:r>
    </w:p>
    <w:p w14:paraId="2C8C5BC8" w14:textId="77777777" w:rsidR="00324213" w:rsidRPr="00915020" w:rsidRDefault="00324213" w:rsidP="00324213">
      <w:pPr>
        <w:rPr>
          <w:rFonts w:ascii="Times New Roman" w:eastAsia="Calibri" w:hAnsi="Times New Roman" w:cs="Times New Roman"/>
          <w:sz w:val="24"/>
          <w:szCs w:val="24"/>
        </w:rPr>
      </w:pPr>
      <w:bookmarkStart w:id="0" w:name="_GoBack"/>
      <w:bookmarkEnd w:id="0"/>
    </w:p>
    <w:p w14:paraId="1FA9D163" w14:textId="758A163A" w:rsidR="00124F8D" w:rsidRPr="00915020" w:rsidRDefault="00324213" w:rsidP="00A70244">
      <w:pPr>
        <w:spacing w:after="0" w:line="240" w:lineRule="auto"/>
        <w:ind w:right="112"/>
        <w:jc w:val="both"/>
        <w:rPr>
          <w:rFonts w:ascii="Times New Roman" w:eastAsia="Times New Roman" w:hAnsi="Times New Roman" w:cs="Times New Roman"/>
          <w:b/>
          <w:i/>
          <w:color w:val="000000"/>
          <w:sz w:val="24"/>
          <w:szCs w:val="24"/>
          <w:u w:val="single"/>
          <w:lang w:eastAsia="es-ES"/>
        </w:rPr>
      </w:pPr>
      <w:r w:rsidRPr="00915020">
        <w:rPr>
          <w:rFonts w:ascii="Times New Roman" w:eastAsia="Calibri" w:hAnsi="Times New Roman" w:cs="Times New Roman"/>
          <w:b/>
          <w:i/>
          <w:sz w:val="24"/>
          <w:szCs w:val="24"/>
          <w:u w:val="single"/>
        </w:rPr>
        <w:t xml:space="preserve">Buenos Aires. </w:t>
      </w:r>
      <w:r w:rsidR="00A70244">
        <w:rPr>
          <w:rFonts w:ascii="Times New Roman" w:eastAsia="Calibri" w:hAnsi="Times New Roman" w:cs="Times New Roman"/>
          <w:b/>
          <w:i/>
          <w:sz w:val="24"/>
          <w:szCs w:val="24"/>
          <w:u w:val="single"/>
        </w:rPr>
        <w:t xml:space="preserve">Ingreso de </w:t>
      </w:r>
      <w:r w:rsidR="00CF0E5F">
        <w:rPr>
          <w:rFonts w:ascii="Times New Roman" w:eastAsia="Times New Roman" w:hAnsi="Times New Roman" w:cs="Times New Roman"/>
          <w:b/>
          <w:i/>
          <w:color w:val="000000"/>
          <w:sz w:val="24"/>
          <w:szCs w:val="24"/>
          <w:u w:val="single"/>
          <w:lang w:eastAsia="es-ES"/>
        </w:rPr>
        <w:t>Anticipo adicional en el I</w:t>
      </w:r>
      <w:r w:rsidR="00124F8D" w:rsidRPr="00915020">
        <w:rPr>
          <w:rFonts w:ascii="Times New Roman" w:eastAsia="Times New Roman" w:hAnsi="Times New Roman" w:cs="Times New Roman"/>
          <w:b/>
          <w:i/>
          <w:color w:val="000000"/>
          <w:sz w:val="24"/>
          <w:szCs w:val="24"/>
          <w:u w:val="single"/>
          <w:lang w:eastAsia="es-ES"/>
        </w:rPr>
        <w:t>mpuesto sobre los Ingresos Brutos</w:t>
      </w:r>
    </w:p>
    <w:p w14:paraId="50D2929D" w14:textId="77777777" w:rsidR="000B4E5D" w:rsidRPr="00915020" w:rsidRDefault="000B4E5D" w:rsidP="005E2DD8">
      <w:pPr>
        <w:ind w:right="50"/>
        <w:jc w:val="both"/>
        <w:rPr>
          <w:rFonts w:ascii="Times New Roman" w:eastAsia="Calibri" w:hAnsi="Times New Roman" w:cs="Times New Roman"/>
          <w:b/>
          <w:i/>
          <w:sz w:val="24"/>
          <w:szCs w:val="24"/>
          <w:u w:val="single"/>
        </w:rPr>
      </w:pPr>
    </w:p>
    <w:p w14:paraId="394F6E19" w14:textId="77777777" w:rsidR="00915020" w:rsidRPr="00915020" w:rsidRDefault="00915020" w:rsidP="005E2DD8">
      <w:pPr>
        <w:spacing w:after="0" w:line="240" w:lineRule="auto"/>
        <w:ind w:right="112"/>
        <w:jc w:val="both"/>
        <w:rPr>
          <w:rFonts w:ascii="Times New Roman" w:eastAsia="Times New Roman" w:hAnsi="Times New Roman" w:cs="Times New Roman"/>
          <w:color w:val="000000"/>
          <w:sz w:val="24"/>
          <w:szCs w:val="24"/>
          <w:lang w:eastAsia="es-ES"/>
        </w:rPr>
      </w:pPr>
      <w:r w:rsidRPr="000B4E5D">
        <w:rPr>
          <w:rFonts w:ascii="Times New Roman" w:eastAsia="Times New Roman" w:hAnsi="Times New Roman" w:cs="Times New Roman"/>
          <w:b/>
          <w:color w:val="000000"/>
          <w:sz w:val="24"/>
          <w:szCs w:val="24"/>
          <w:u w:val="single"/>
          <w:lang w:eastAsia="es-ES"/>
        </w:rPr>
        <w:t>Mediante la Ley</w:t>
      </w:r>
      <w:r w:rsidR="000B4E5D">
        <w:rPr>
          <w:rFonts w:ascii="Times New Roman" w:eastAsia="Times New Roman" w:hAnsi="Times New Roman" w:cs="Times New Roman"/>
          <w:b/>
          <w:color w:val="000000"/>
          <w:sz w:val="24"/>
          <w:szCs w:val="24"/>
          <w:u w:val="single"/>
          <w:lang w:eastAsia="es-ES"/>
        </w:rPr>
        <w:t xml:space="preserve"> de</w:t>
      </w:r>
      <w:r w:rsidRPr="000B4E5D">
        <w:rPr>
          <w:rFonts w:ascii="Times New Roman" w:eastAsia="Times New Roman" w:hAnsi="Times New Roman" w:cs="Times New Roman"/>
          <w:b/>
          <w:color w:val="000000"/>
          <w:sz w:val="24"/>
          <w:szCs w:val="24"/>
          <w:u w:val="single"/>
          <w:lang w:eastAsia="es-ES"/>
        </w:rPr>
        <w:t xml:space="preserve"> referencia</w:t>
      </w:r>
      <w:r w:rsidRPr="00915020">
        <w:rPr>
          <w:rFonts w:ascii="Times New Roman" w:eastAsia="Times New Roman" w:hAnsi="Times New Roman" w:cs="Times New Roman"/>
          <w:color w:val="000000"/>
          <w:sz w:val="24"/>
          <w:szCs w:val="24"/>
          <w:lang w:eastAsia="es-ES"/>
        </w:rPr>
        <w:t xml:space="preserve">, se faculta a la Agencia de Recaudación de Buenos Aires a </w:t>
      </w:r>
      <w:r w:rsidR="00CF0E5F" w:rsidRPr="00915020">
        <w:rPr>
          <w:rFonts w:ascii="Times New Roman" w:eastAsia="Times New Roman" w:hAnsi="Times New Roman" w:cs="Times New Roman"/>
          <w:color w:val="000000"/>
          <w:sz w:val="24"/>
          <w:szCs w:val="24"/>
          <w:lang w:eastAsia="es-ES"/>
        </w:rPr>
        <w:t>establecer para</w:t>
      </w:r>
      <w:r w:rsidR="00124F8D" w:rsidRPr="00915020">
        <w:rPr>
          <w:rFonts w:ascii="Times New Roman" w:eastAsia="Times New Roman" w:hAnsi="Times New Roman" w:cs="Times New Roman"/>
          <w:color w:val="000000"/>
          <w:sz w:val="24"/>
          <w:szCs w:val="24"/>
          <w:lang w:eastAsia="es-ES"/>
        </w:rPr>
        <w:t xml:space="preserve"> el ejercicio fiscal 2024</w:t>
      </w:r>
      <w:r w:rsidRPr="00915020">
        <w:rPr>
          <w:rFonts w:ascii="Times New Roman" w:eastAsia="Times New Roman" w:hAnsi="Times New Roman" w:cs="Times New Roman"/>
          <w:color w:val="000000"/>
          <w:sz w:val="24"/>
          <w:szCs w:val="24"/>
          <w:lang w:eastAsia="es-ES"/>
        </w:rPr>
        <w:t>,</w:t>
      </w:r>
      <w:r w:rsidR="00124F8D" w:rsidRPr="00915020">
        <w:rPr>
          <w:rFonts w:ascii="Times New Roman" w:eastAsia="Times New Roman" w:hAnsi="Times New Roman" w:cs="Times New Roman"/>
          <w:color w:val="000000"/>
          <w:sz w:val="24"/>
          <w:szCs w:val="24"/>
          <w:lang w:eastAsia="es-ES"/>
        </w:rPr>
        <w:t xml:space="preserve"> un anticipo adicional en el Impuesto sobre los Ingresos Brutos</w:t>
      </w:r>
      <w:r w:rsidRPr="00915020">
        <w:rPr>
          <w:rFonts w:ascii="Times New Roman" w:eastAsia="Times New Roman" w:hAnsi="Times New Roman" w:cs="Times New Roman"/>
          <w:color w:val="000000"/>
          <w:sz w:val="24"/>
          <w:szCs w:val="24"/>
          <w:lang w:eastAsia="es-ES"/>
        </w:rPr>
        <w:t xml:space="preserve">. </w:t>
      </w:r>
    </w:p>
    <w:p w14:paraId="373F7F7D" w14:textId="77777777" w:rsidR="00915020" w:rsidRPr="00915020" w:rsidRDefault="00915020" w:rsidP="00124F8D">
      <w:pPr>
        <w:spacing w:after="0" w:line="240" w:lineRule="auto"/>
        <w:ind w:left="112" w:right="112"/>
        <w:jc w:val="both"/>
        <w:rPr>
          <w:rFonts w:ascii="Times New Roman" w:eastAsia="Times New Roman" w:hAnsi="Times New Roman" w:cs="Times New Roman"/>
          <w:color w:val="000000"/>
          <w:sz w:val="24"/>
          <w:szCs w:val="24"/>
          <w:lang w:eastAsia="es-ES"/>
        </w:rPr>
      </w:pPr>
    </w:p>
    <w:p w14:paraId="1A0AA00D" w14:textId="77777777" w:rsidR="00124F8D" w:rsidRDefault="00915020" w:rsidP="005E2DD8">
      <w:pPr>
        <w:spacing w:after="0" w:line="240" w:lineRule="auto"/>
        <w:ind w:right="112"/>
        <w:jc w:val="both"/>
        <w:rPr>
          <w:rFonts w:ascii="Times New Roman" w:hAnsi="Times New Roman" w:cs="Times New Roman"/>
          <w:color w:val="000000"/>
          <w:sz w:val="24"/>
          <w:szCs w:val="24"/>
        </w:rPr>
      </w:pPr>
      <w:r w:rsidRPr="00915020">
        <w:rPr>
          <w:rFonts w:ascii="Times New Roman" w:eastAsia="Times New Roman" w:hAnsi="Times New Roman" w:cs="Times New Roman"/>
          <w:color w:val="000000"/>
          <w:sz w:val="24"/>
          <w:szCs w:val="24"/>
          <w:lang w:eastAsia="es-ES"/>
        </w:rPr>
        <w:t>El mismo podrá ascender a un monto que equivalga hasta cuatro veces</w:t>
      </w:r>
      <w:r w:rsidR="00124F8D" w:rsidRPr="00915020">
        <w:rPr>
          <w:rFonts w:ascii="Times New Roman" w:eastAsia="Times New Roman" w:hAnsi="Times New Roman" w:cs="Times New Roman"/>
          <w:color w:val="000000"/>
          <w:sz w:val="24"/>
          <w:szCs w:val="24"/>
          <w:lang w:eastAsia="es-ES"/>
        </w:rPr>
        <w:t xml:space="preserve"> el importe del anticipo correspondiente a </w:t>
      </w:r>
      <w:proofErr w:type="gramStart"/>
      <w:r w:rsidR="00124F8D" w:rsidRPr="00915020">
        <w:rPr>
          <w:rFonts w:ascii="Times New Roman" w:eastAsia="Times New Roman" w:hAnsi="Times New Roman" w:cs="Times New Roman"/>
          <w:color w:val="000000"/>
          <w:sz w:val="24"/>
          <w:szCs w:val="24"/>
          <w:lang w:eastAsia="es-ES"/>
        </w:rPr>
        <w:t>Octubre</w:t>
      </w:r>
      <w:proofErr w:type="gramEnd"/>
      <w:r w:rsidR="00124F8D" w:rsidRPr="00915020">
        <w:rPr>
          <w:rFonts w:ascii="Times New Roman" w:eastAsia="Times New Roman" w:hAnsi="Times New Roman" w:cs="Times New Roman"/>
          <w:color w:val="000000"/>
          <w:sz w:val="24"/>
          <w:szCs w:val="24"/>
          <w:lang w:eastAsia="es-ES"/>
        </w:rPr>
        <w:t xml:space="preserve"> 2023, </w:t>
      </w:r>
      <w:r w:rsidRPr="00915020">
        <w:rPr>
          <w:rFonts w:ascii="Times New Roman" w:hAnsi="Times New Roman" w:cs="Times New Roman"/>
          <w:color w:val="000000"/>
          <w:sz w:val="24"/>
          <w:szCs w:val="24"/>
        </w:rPr>
        <w:t xml:space="preserve">aplicable al universo de contribuyentes -ya sea locales o de Convenio Multilateral- que determine la citada Agencia en base a ingresos o segmentos de facturación y/o el Índice de concentración de </w:t>
      </w:r>
      <w:proofErr w:type="spellStart"/>
      <w:r w:rsidRPr="00915020">
        <w:rPr>
          <w:rFonts w:ascii="Times New Roman" w:hAnsi="Times New Roman" w:cs="Times New Roman"/>
          <w:color w:val="000000"/>
          <w:sz w:val="24"/>
          <w:szCs w:val="24"/>
        </w:rPr>
        <w:t>Herfindahl</w:t>
      </w:r>
      <w:proofErr w:type="spellEnd"/>
      <w:r w:rsidRPr="00915020">
        <w:rPr>
          <w:rFonts w:ascii="Times New Roman" w:hAnsi="Times New Roman" w:cs="Times New Roman"/>
          <w:color w:val="000000"/>
          <w:sz w:val="24"/>
          <w:szCs w:val="24"/>
        </w:rPr>
        <w:t xml:space="preserve"> y </w:t>
      </w:r>
      <w:proofErr w:type="spellStart"/>
      <w:r w:rsidRPr="00915020">
        <w:rPr>
          <w:rFonts w:ascii="Times New Roman" w:hAnsi="Times New Roman" w:cs="Times New Roman"/>
          <w:color w:val="000000"/>
          <w:sz w:val="24"/>
          <w:szCs w:val="24"/>
        </w:rPr>
        <w:t>Hirschman</w:t>
      </w:r>
      <w:proofErr w:type="spellEnd"/>
      <w:r w:rsidRPr="00915020">
        <w:rPr>
          <w:rFonts w:ascii="Times New Roman" w:hAnsi="Times New Roman" w:cs="Times New Roman"/>
          <w:color w:val="000000"/>
          <w:sz w:val="24"/>
          <w:szCs w:val="24"/>
        </w:rPr>
        <w:t xml:space="preserve"> (IHH).</w:t>
      </w:r>
    </w:p>
    <w:p w14:paraId="24AACAB2" w14:textId="77777777" w:rsidR="00124F8D" w:rsidRPr="00915020" w:rsidRDefault="00124F8D" w:rsidP="00915020">
      <w:pPr>
        <w:spacing w:after="0" w:line="240" w:lineRule="auto"/>
        <w:ind w:right="112"/>
        <w:jc w:val="both"/>
        <w:rPr>
          <w:rFonts w:ascii="Times New Roman" w:eastAsia="Times New Roman" w:hAnsi="Times New Roman" w:cs="Times New Roman"/>
          <w:b/>
          <w:color w:val="000000"/>
          <w:sz w:val="24"/>
          <w:szCs w:val="24"/>
          <w:lang w:eastAsia="es-ES"/>
        </w:rPr>
      </w:pPr>
    </w:p>
    <w:p w14:paraId="472EDC71" w14:textId="77777777" w:rsidR="00124F8D" w:rsidRDefault="00124F8D" w:rsidP="00915020">
      <w:pPr>
        <w:spacing w:after="0" w:line="240" w:lineRule="auto"/>
        <w:ind w:right="112"/>
        <w:jc w:val="both"/>
        <w:rPr>
          <w:rFonts w:ascii="Times New Roman" w:eastAsia="Times New Roman" w:hAnsi="Times New Roman" w:cs="Times New Roman"/>
          <w:color w:val="000000"/>
          <w:sz w:val="24"/>
          <w:szCs w:val="24"/>
          <w:lang w:eastAsia="es-ES"/>
        </w:rPr>
      </w:pPr>
      <w:r w:rsidRPr="00915020">
        <w:rPr>
          <w:rFonts w:ascii="Times New Roman" w:eastAsia="Times New Roman" w:hAnsi="Times New Roman" w:cs="Times New Roman"/>
          <w:color w:val="000000"/>
          <w:sz w:val="24"/>
          <w:szCs w:val="24"/>
          <w:lang w:eastAsia="es-ES"/>
        </w:rPr>
        <w:t>Los contribuyentes que no hayan declarado ingresos durante ese período se les podrá liquidar y exigir el pago del anticipo ya mencionado, tomando como base de cálculo, hasta cuatro veces el importe de cualquier anticipo no prescripto, incrementado en hasta un setenta por cierto (70%).</w:t>
      </w:r>
    </w:p>
    <w:p w14:paraId="6BCBA35B" w14:textId="77777777" w:rsidR="00915020" w:rsidRPr="00915020" w:rsidRDefault="00915020" w:rsidP="00915020">
      <w:pPr>
        <w:spacing w:after="0" w:line="240" w:lineRule="auto"/>
        <w:ind w:right="112"/>
        <w:jc w:val="both"/>
        <w:rPr>
          <w:rFonts w:ascii="Times New Roman" w:eastAsia="Times New Roman" w:hAnsi="Times New Roman" w:cs="Times New Roman"/>
          <w:b/>
          <w:color w:val="000000"/>
          <w:sz w:val="24"/>
          <w:szCs w:val="24"/>
          <w:lang w:eastAsia="es-ES"/>
        </w:rPr>
      </w:pPr>
    </w:p>
    <w:p w14:paraId="7E46BEC2" w14:textId="77777777" w:rsidR="00124F8D" w:rsidRDefault="00124F8D" w:rsidP="00915020">
      <w:pPr>
        <w:spacing w:after="0" w:line="240" w:lineRule="auto"/>
        <w:ind w:right="112"/>
        <w:jc w:val="both"/>
        <w:rPr>
          <w:rFonts w:ascii="Times New Roman" w:eastAsia="Times New Roman" w:hAnsi="Times New Roman" w:cs="Times New Roman"/>
          <w:b/>
          <w:color w:val="000000"/>
          <w:sz w:val="24"/>
          <w:szCs w:val="24"/>
          <w:lang w:eastAsia="es-ES"/>
        </w:rPr>
      </w:pPr>
      <w:r w:rsidRPr="00915020">
        <w:rPr>
          <w:rFonts w:ascii="Times New Roman" w:eastAsia="Times New Roman" w:hAnsi="Times New Roman" w:cs="Times New Roman"/>
          <w:color w:val="000000"/>
          <w:sz w:val="24"/>
          <w:szCs w:val="24"/>
          <w:lang w:eastAsia="es-ES"/>
        </w:rPr>
        <w:t>El anticipo no devengará intereses a favor del contribuyente, se deberá atribuir al impuesto del año 2024 respetando las condiciones que el Agente de Recaudación de la Provincia de Buenos Aires establezca.</w:t>
      </w:r>
    </w:p>
    <w:p w14:paraId="7B111D79" w14:textId="77777777" w:rsidR="00915020" w:rsidRPr="00915020" w:rsidRDefault="00915020" w:rsidP="00915020">
      <w:pPr>
        <w:spacing w:after="0" w:line="240" w:lineRule="auto"/>
        <w:ind w:right="112"/>
        <w:jc w:val="both"/>
        <w:rPr>
          <w:rFonts w:ascii="Times New Roman" w:eastAsia="Times New Roman" w:hAnsi="Times New Roman" w:cs="Times New Roman"/>
          <w:b/>
          <w:color w:val="000000"/>
          <w:sz w:val="24"/>
          <w:szCs w:val="24"/>
          <w:lang w:eastAsia="es-ES"/>
        </w:rPr>
      </w:pPr>
    </w:p>
    <w:p w14:paraId="5AA494AE" w14:textId="77777777" w:rsidR="00324213" w:rsidRPr="00915020" w:rsidRDefault="00915020" w:rsidP="00124F8D">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ES"/>
        </w:rPr>
        <w:t>La Agencia de Recaudación se encuentra facultada</w:t>
      </w:r>
      <w:r w:rsidR="00124F8D" w:rsidRPr="00915020">
        <w:rPr>
          <w:rFonts w:ascii="Times New Roman" w:eastAsia="Times New Roman" w:hAnsi="Times New Roman" w:cs="Times New Roman"/>
          <w:color w:val="000000"/>
          <w:sz w:val="24"/>
          <w:szCs w:val="24"/>
          <w:lang w:eastAsia="es-ES"/>
        </w:rPr>
        <w:t xml:space="preserve"> establecer cuotas y fechas de vencimiento para el ingreso del anticipo.</w:t>
      </w:r>
    </w:p>
    <w:p w14:paraId="76E8BC70" w14:textId="77777777" w:rsidR="00324213" w:rsidRDefault="00324213" w:rsidP="00324213">
      <w:pPr>
        <w:jc w:val="both"/>
        <w:rPr>
          <w:rFonts w:ascii="Times New Roman" w:hAnsi="Times New Roman" w:cs="Times New Roman"/>
          <w:sz w:val="24"/>
          <w:szCs w:val="24"/>
        </w:rPr>
      </w:pPr>
    </w:p>
    <w:p w14:paraId="34BB2C70" w14:textId="77777777" w:rsidR="00BC0BEA" w:rsidRDefault="000B4E5D" w:rsidP="000B4E5D">
      <w:pPr>
        <w:jc w:val="both"/>
        <w:rPr>
          <w:rFonts w:ascii="Times New Roman" w:eastAsia="Times New Roman" w:hAnsi="Times New Roman" w:cs="Times New Roman"/>
          <w:color w:val="000000"/>
          <w:sz w:val="24"/>
          <w:szCs w:val="24"/>
          <w:lang w:eastAsia="es-ES"/>
        </w:rPr>
      </w:pPr>
      <w:r w:rsidRPr="0063185B">
        <w:rPr>
          <w:rFonts w:ascii="Times New Roman" w:eastAsia="Times New Roman" w:hAnsi="Times New Roman" w:cs="Times New Roman"/>
          <w:b/>
          <w:color w:val="000000"/>
          <w:sz w:val="24"/>
          <w:szCs w:val="24"/>
          <w:u w:val="single"/>
          <w:lang w:eastAsia="es-ES"/>
        </w:rPr>
        <w:t>Mediante la Resolución de referencia</w:t>
      </w:r>
      <w:r w:rsidRPr="0063185B">
        <w:rPr>
          <w:rFonts w:ascii="Times New Roman" w:eastAsia="Times New Roman" w:hAnsi="Times New Roman" w:cs="Times New Roman"/>
          <w:color w:val="000000"/>
          <w:sz w:val="24"/>
          <w:szCs w:val="24"/>
          <w:lang w:eastAsia="es-ES"/>
        </w:rPr>
        <w:t xml:space="preserve">, </w:t>
      </w:r>
      <w:r w:rsidR="00804586">
        <w:rPr>
          <w:rFonts w:ascii="Times New Roman" w:eastAsia="Times New Roman" w:hAnsi="Times New Roman" w:cs="Times New Roman"/>
          <w:color w:val="000000"/>
          <w:sz w:val="24"/>
          <w:szCs w:val="24"/>
          <w:lang w:eastAsia="es-ES"/>
        </w:rPr>
        <w:t>s</w:t>
      </w:r>
      <w:r w:rsidR="00804586" w:rsidRPr="00804586">
        <w:rPr>
          <w:rFonts w:ascii="Times New Roman" w:eastAsia="Times New Roman" w:hAnsi="Times New Roman" w:cs="Times New Roman"/>
          <w:color w:val="000000"/>
          <w:sz w:val="24"/>
          <w:szCs w:val="24"/>
          <w:lang w:eastAsia="es-ES"/>
        </w:rPr>
        <w:t xml:space="preserve">e establece la forma, requisitos y demás condiciones para ingresar </w:t>
      </w:r>
      <w:r w:rsidR="00804586" w:rsidRPr="00804586">
        <w:rPr>
          <w:rFonts w:ascii="Times New Roman" w:eastAsia="Times New Roman" w:hAnsi="Times New Roman" w:cs="Times New Roman"/>
          <w:b/>
          <w:bCs/>
          <w:color w:val="000000"/>
          <w:sz w:val="24"/>
          <w:szCs w:val="24"/>
          <w:lang w:eastAsia="es-ES"/>
        </w:rPr>
        <w:t>hasta el 8/3/2024</w:t>
      </w:r>
      <w:r w:rsidR="00804586" w:rsidRPr="00804586">
        <w:rPr>
          <w:rFonts w:ascii="Times New Roman" w:eastAsia="Times New Roman" w:hAnsi="Times New Roman" w:cs="Times New Roman"/>
          <w:color w:val="000000"/>
          <w:sz w:val="24"/>
          <w:szCs w:val="24"/>
          <w:lang w:eastAsia="es-ES"/>
        </w:rPr>
        <w:t xml:space="preserve"> el anticipo adicional del Impuesto sobre los Ingresos Brutos aplicable al universo de contribuyentes -ya sea locales o de Convenio Multilateral</w:t>
      </w:r>
      <w:r w:rsidR="00BC0BEA">
        <w:rPr>
          <w:rFonts w:ascii="Times New Roman" w:eastAsia="Times New Roman" w:hAnsi="Times New Roman" w:cs="Times New Roman"/>
          <w:color w:val="000000"/>
          <w:sz w:val="24"/>
          <w:szCs w:val="24"/>
          <w:lang w:eastAsia="es-ES"/>
        </w:rPr>
        <w:t xml:space="preserve">. </w:t>
      </w:r>
    </w:p>
    <w:p w14:paraId="6820F5AB" w14:textId="77777777" w:rsidR="00BC0BEA" w:rsidRDefault="00BC0BEA" w:rsidP="00BC0BEA">
      <w:pPr>
        <w:jc w:val="both"/>
        <w:rPr>
          <w:rFonts w:ascii="Times New Roman" w:eastAsia="Times New Roman" w:hAnsi="Times New Roman" w:cs="Times New Roman"/>
          <w:color w:val="000000"/>
          <w:sz w:val="24"/>
          <w:szCs w:val="24"/>
          <w:lang w:eastAsia="es-ES"/>
        </w:rPr>
      </w:pPr>
      <w:r w:rsidRPr="00BC0BEA">
        <w:rPr>
          <w:rFonts w:ascii="Times New Roman" w:eastAsia="Times New Roman" w:hAnsi="Times New Roman" w:cs="Times New Roman"/>
          <w:color w:val="000000"/>
          <w:sz w:val="24"/>
          <w:szCs w:val="24"/>
          <w:lang w:eastAsia="es-ES"/>
        </w:rPr>
        <w:t>Como aspectos salientes destacamos:</w:t>
      </w:r>
    </w:p>
    <w:p w14:paraId="384FDC68" w14:textId="60E69C4F" w:rsidR="00BC0BEA" w:rsidRPr="00BC0BEA" w:rsidRDefault="00BC0BEA" w:rsidP="00BC0BEA">
      <w:pPr>
        <w:pStyle w:val="Prrafodelista"/>
        <w:numPr>
          <w:ilvl w:val="0"/>
          <w:numId w:val="5"/>
        </w:numPr>
        <w:jc w:val="both"/>
        <w:rPr>
          <w:rFonts w:ascii="Times New Roman" w:hAnsi="Times New Roman" w:cs="Times New Roman"/>
          <w:sz w:val="24"/>
          <w:szCs w:val="24"/>
        </w:rPr>
      </w:pPr>
      <w:r w:rsidRPr="00BC0BEA">
        <w:rPr>
          <w:rFonts w:ascii="Times New Roman" w:hAnsi="Times New Roman"/>
          <w:b/>
          <w:sz w:val="24"/>
          <w:szCs w:val="24"/>
          <w:u w:val="single"/>
          <w:lang w:eastAsia="es-AR"/>
        </w:rPr>
        <w:t>Sujetos</w:t>
      </w:r>
      <w:r w:rsidR="00921EA5">
        <w:rPr>
          <w:rFonts w:ascii="Times New Roman" w:hAnsi="Times New Roman"/>
          <w:b/>
          <w:sz w:val="24"/>
          <w:szCs w:val="24"/>
          <w:u w:val="single"/>
          <w:lang w:eastAsia="es-AR"/>
        </w:rPr>
        <w:t xml:space="preserve"> obligados</w:t>
      </w:r>
      <w:r w:rsidRPr="00BC0BEA">
        <w:rPr>
          <w:rFonts w:ascii="Times New Roman" w:hAnsi="Times New Roman"/>
          <w:b/>
          <w:sz w:val="24"/>
          <w:szCs w:val="24"/>
          <w:u w:val="single"/>
          <w:lang w:eastAsia="es-AR"/>
        </w:rPr>
        <w:t>:</w:t>
      </w:r>
    </w:p>
    <w:p w14:paraId="7AC6B4DB" w14:textId="481FD2F1" w:rsidR="00BC0BEA" w:rsidRDefault="00BC0BEA" w:rsidP="00921EA5">
      <w:pPr>
        <w:pStyle w:val="lineanueva"/>
        <w:pBdr>
          <w:bottom w:val="none" w:sz="0" w:space="0" w:color="auto"/>
        </w:pBdr>
        <w:rPr>
          <w:rFonts w:ascii="Times New Roman" w:hAnsi="Times New Roman"/>
          <w:color w:val="000000"/>
          <w:sz w:val="24"/>
          <w:szCs w:val="24"/>
        </w:rPr>
      </w:pPr>
      <w:r w:rsidRPr="00BC0BEA">
        <w:rPr>
          <w:rFonts w:ascii="Times New Roman" w:hAnsi="Times New Roman"/>
          <w:color w:val="000000"/>
          <w:sz w:val="24"/>
          <w:szCs w:val="24"/>
        </w:rPr>
        <w:t>El anticipo adicional en el Impuesto sobre los Ingresos Brutos</w:t>
      </w:r>
      <w:r>
        <w:rPr>
          <w:rFonts w:ascii="Times New Roman" w:hAnsi="Times New Roman"/>
          <w:color w:val="000000"/>
          <w:sz w:val="24"/>
          <w:szCs w:val="24"/>
        </w:rPr>
        <w:t xml:space="preserve"> </w:t>
      </w:r>
      <w:r w:rsidRPr="00BC0BEA">
        <w:rPr>
          <w:rFonts w:ascii="Times New Roman" w:hAnsi="Times New Roman"/>
          <w:color w:val="000000"/>
          <w:sz w:val="24"/>
          <w:szCs w:val="24"/>
        </w:rPr>
        <w:t>alcanzará a aquellos contribuyentes del tributo -ya sean locales o sujetos al régimen del Convenio Multilateral- que reúnan, en forma concurrente, los siguientes requisitos:</w:t>
      </w:r>
    </w:p>
    <w:p w14:paraId="0FA93314" w14:textId="6ECEE6C0" w:rsidR="00BC0BEA" w:rsidRDefault="00BC0BEA" w:rsidP="00921EA5">
      <w:pPr>
        <w:pStyle w:val="lineanueva"/>
        <w:numPr>
          <w:ilvl w:val="1"/>
          <w:numId w:val="5"/>
        </w:numPr>
        <w:pBdr>
          <w:bottom w:val="none" w:sz="0" w:space="0" w:color="auto"/>
        </w:pBdr>
        <w:ind w:left="1134" w:hanging="425"/>
        <w:rPr>
          <w:rFonts w:ascii="Times New Roman" w:hAnsi="Times New Roman"/>
          <w:color w:val="000000"/>
          <w:sz w:val="24"/>
          <w:szCs w:val="24"/>
        </w:rPr>
      </w:pPr>
      <w:r w:rsidRPr="00BC0BEA">
        <w:rPr>
          <w:rFonts w:ascii="Times New Roman" w:hAnsi="Times New Roman"/>
          <w:color w:val="000000"/>
          <w:sz w:val="24"/>
          <w:szCs w:val="24"/>
        </w:rPr>
        <w:lastRenderedPageBreak/>
        <w:t>Revestir el carácter de grandes contribuyentes</w:t>
      </w:r>
      <w:r>
        <w:rPr>
          <w:rFonts w:ascii="Times New Roman" w:hAnsi="Times New Roman"/>
          <w:color w:val="000000"/>
          <w:sz w:val="24"/>
          <w:szCs w:val="24"/>
        </w:rPr>
        <w:t>.</w:t>
      </w:r>
    </w:p>
    <w:p w14:paraId="79EF9238" w14:textId="77777777" w:rsidR="00921EA5" w:rsidRDefault="00BC0BEA" w:rsidP="00921EA5">
      <w:pPr>
        <w:pStyle w:val="lineanueva"/>
        <w:numPr>
          <w:ilvl w:val="1"/>
          <w:numId w:val="5"/>
        </w:numPr>
        <w:pBdr>
          <w:bottom w:val="none" w:sz="0" w:space="0" w:color="auto"/>
        </w:pBdr>
        <w:ind w:left="1134" w:hanging="425"/>
        <w:rPr>
          <w:rFonts w:ascii="Times New Roman" w:hAnsi="Times New Roman"/>
          <w:color w:val="000000"/>
          <w:sz w:val="24"/>
          <w:szCs w:val="24"/>
        </w:rPr>
      </w:pPr>
      <w:r w:rsidRPr="00BC0BEA">
        <w:rPr>
          <w:rFonts w:ascii="Times New Roman" w:hAnsi="Times New Roman"/>
          <w:color w:val="000000"/>
          <w:sz w:val="24"/>
          <w:szCs w:val="24"/>
        </w:rPr>
        <w:t xml:space="preserve">Desarrollar una actividad que corresponda a un mercado con un grado de concentración elevado, considerando como tal a un valor del Índice de </w:t>
      </w:r>
      <w:proofErr w:type="spellStart"/>
      <w:r w:rsidRPr="00BC0BEA">
        <w:rPr>
          <w:rFonts w:ascii="Times New Roman" w:hAnsi="Times New Roman"/>
          <w:color w:val="000000"/>
          <w:sz w:val="24"/>
          <w:szCs w:val="24"/>
        </w:rPr>
        <w:t>Herfindahl</w:t>
      </w:r>
      <w:proofErr w:type="spellEnd"/>
      <w:r w:rsidRPr="00BC0BEA">
        <w:rPr>
          <w:rFonts w:ascii="Times New Roman" w:hAnsi="Times New Roman"/>
          <w:color w:val="000000"/>
          <w:sz w:val="24"/>
          <w:szCs w:val="24"/>
        </w:rPr>
        <w:t xml:space="preserve"> y </w:t>
      </w:r>
      <w:proofErr w:type="spellStart"/>
      <w:r w:rsidRPr="00BC0BEA">
        <w:rPr>
          <w:rFonts w:ascii="Times New Roman" w:hAnsi="Times New Roman"/>
          <w:color w:val="000000"/>
          <w:sz w:val="24"/>
          <w:szCs w:val="24"/>
        </w:rPr>
        <w:t>Hisrschman</w:t>
      </w:r>
      <w:proofErr w:type="spellEnd"/>
      <w:r w:rsidRPr="00BC0BEA">
        <w:rPr>
          <w:rFonts w:ascii="Times New Roman" w:hAnsi="Times New Roman"/>
          <w:color w:val="000000"/>
          <w:sz w:val="24"/>
          <w:szCs w:val="24"/>
        </w:rPr>
        <w:t xml:space="preserve"> (IHH) mayor a mil ochocientos (1800)</w:t>
      </w:r>
      <w:r>
        <w:rPr>
          <w:rFonts w:ascii="Times New Roman" w:hAnsi="Times New Roman"/>
          <w:color w:val="000000"/>
          <w:sz w:val="24"/>
          <w:szCs w:val="24"/>
        </w:rPr>
        <w:t>.</w:t>
      </w:r>
    </w:p>
    <w:p w14:paraId="7BE3EA3A" w14:textId="77777777" w:rsidR="00921EA5" w:rsidRDefault="00921EA5" w:rsidP="00921EA5">
      <w:pPr>
        <w:pStyle w:val="Prrafodelista"/>
        <w:jc w:val="both"/>
        <w:rPr>
          <w:rFonts w:ascii="Times New Roman" w:hAnsi="Times New Roman"/>
          <w:b/>
          <w:sz w:val="24"/>
          <w:szCs w:val="24"/>
          <w:u w:val="single"/>
          <w:lang w:eastAsia="es-AR"/>
        </w:rPr>
      </w:pPr>
    </w:p>
    <w:p w14:paraId="33F2575C" w14:textId="3BDBD76B" w:rsidR="00921EA5" w:rsidRPr="00921EA5" w:rsidRDefault="00921EA5" w:rsidP="00921EA5">
      <w:pPr>
        <w:pStyle w:val="Prrafodelista"/>
        <w:numPr>
          <w:ilvl w:val="0"/>
          <w:numId w:val="5"/>
        </w:numPr>
        <w:jc w:val="both"/>
        <w:rPr>
          <w:rFonts w:ascii="Times New Roman" w:hAnsi="Times New Roman"/>
          <w:b/>
          <w:sz w:val="24"/>
          <w:szCs w:val="24"/>
          <w:u w:val="single"/>
          <w:lang w:eastAsia="es-AR"/>
        </w:rPr>
      </w:pPr>
      <w:r w:rsidRPr="00921EA5">
        <w:rPr>
          <w:rFonts w:ascii="Times New Roman" w:hAnsi="Times New Roman"/>
          <w:b/>
          <w:sz w:val="24"/>
          <w:szCs w:val="24"/>
          <w:u w:val="single"/>
          <w:lang w:eastAsia="es-AR"/>
        </w:rPr>
        <w:t>Sujetos Excluidos:</w:t>
      </w:r>
    </w:p>
    <w:p w14:paraId="64B8E9B1" w14:textId="6A78B631" w:rsidR="00BC0BEA" w:rsidRPr="00921EA5" w:rsidRDefault="00BC0BEA" w:rsidP="00921EA5">
      <w:pPr>
        <w:pStyle w:val="lineanueva"/>
        <w:pBdr>
          <w:bottom w:val="none" w:sz="0" w:space="0" w:color="auto"/>
        </w:pBdr>
        <w:rPr>
          <w:rFonts w:ascii="Times New Roman" w:hAnsi="Times New Roman"/>
          <w:color w:val="000000"/>
          <w:sz w:val="24"/>
          <w:szCs w:val="24"/>
        </w:rPr>
      </w:pPr>
      <w:r w:rsidRPr="00921EA5">
        <w:rPr>
          <w:rFonts w:ascii="Times New Roman" w:hAnsi="Times New Roman"/>
          <w:color w:val="000000"/>
          <w:sz w:val="24"/>
          <w:szCs w:val="24"/>
        </w:rPr>
        <w:t>Quedan excluidos de la obligación de ingresar el anticipo adicional aquellos contribuyentes que, al 29 de enero de 2024:</w:t>
      </w:r>
    </w:p>
    <w:p w14:paraId="6AA5DA39" w14:textId="77777777" w:rsidR="00BC0BEA" w:rsidRDefault="00BC0BEA" w:rsidP="00921EA5">
      <w:pPr>
        <w:pStyle w:val="lineanueva"/>
        <w:numPr>
          <w:ilvl w:val="2"/>
          <w:numId w:val="8"/>
        </w:numPr>
        <w:pBdr>
          <w:bottom w:val="none" w:sz="0" w:space="0" w:color="auto"/>
        </w:pBdr>
        <w:ind w:left="1134" w:hanging="425"/>
        <w:rPr>
          <w:rFonts w:ascii="Times New Roman" w:hAnsi="Times New Roman"/>
          <w:color w:val="000000"/>
          <w:sz w:val="24"/>
          <w:szCs w:val="24"/>
        </w:rPr>
      </w:pPr>
      <w:r>
        <w:rPr>
          <w:rFonts w:ascii="Times New Roman" w:hAnsi="Times New Roman"/>
          <w:color w:val="000000"/>
          <w:sz w:val="24"/>
          <w:szCs w:val="24"/>
        </w:rPr>
        <w:t>R</w:t>
      </w:r>
      <w:r w:rsidRPr="00BC0BEA">
        <w:rPr>
          <w:rFonts w:ascii="Times New Roman" w:hAnsi="Times New Roman"/>
          <w:color w:val="000000"/>
          <w:sz w:val="24"/>
          <w:szCs w:val="24"/>
        </w:rPr>
        <w:t>evistan el carácter de cooperativas, asociaciones civiles sin fines de lucro, empresas del estado, sociedades del estado, sociedades anónimas con participación estatal mayoritaria, mutuales o entes públicos no estatales, según la información registrada en ARBA/AFIP;</w:t>
      </w:r>
    </w:p>
    <w:p w14:paraId="21C630CB" w14:textId="3CEEFD9D" w:rsidR="00BC0BEA" w:rsidRDefault="00921EA5" w:rsidP="00921EA5">
      <w:pPr>
        <w:pStyle w:val="lineanueva"/>
        <w:numPr>
          <w:ilvl w:val="2"/>
          <w:numId w:val="8"/>
        </w:numPr>
        <w:pBdr>
          <w:bottom w:val="none" w:sz="0" w:space="0" w:color="auto"/>
        </w:pBdr>
        <w:ind w:left="1134" w:hanging="425"/>
        <w:rPr>
          <w:rFonts w:ascii="Times New Roman" w:hAnsi="Times New Roman"/>
          <w:color w:val="000000"/>
          <w:sz w:val="24"/>
          <w:szCs w:val="24"/>
        </w:rPr>
      </w:pPr>
      <w:r>
        <w:rPr>
          <w:rFonts w:ascii="Times New Roman" w:hAnsi="Times New Roman"/>
          <w:color w:val="000000"/>
          <w:sz w:val="24"/>
          <w:szCs w:val="24"/>
        </w:rPr>
        <w:t>D</w:t>
      </w:r>
      <w:r w:rsidR="0020323D">
        <w:rPr>
          <w:rFonts w:ascii="Times New Roman" w:hAnsi="Times New Roman"/>
          <w:color w:val="000000"/>
          <w:sz w:val="24"/>
          <w:szCs w:val="24"/>
        </w:rPr>
        <w:t>esarrollen actividades que se correspondan con la prestación d</w:t>
      </w:r>
      <w:r w:rsidR="00BC0BEA" w:rsidRPr="00BC0BEA">
        <w:rPr>
          <w:rFonts w:ascii="Times New Roman" w:hAnsi="Times New Roman"/>
          <w:color w:val="000000"/>
          <w:sz w:val="24"/>
          <w:szCs w:val="24"/>
        </w:rPr>
        <w:t>e servicios públicos relacionados con la energía eléctrica o distribución de gas natural por red</w:t>
      </w:r>
      <w:r w:rsidR="0020323D">
        <w:rPr>
          <w:rFonts w:ascii="Times New Roman" w:hAnsi="Times New Roman"/>
          <w:color w:val="000000"/>
          <w:sz w:val="24"/>
          <w:szCs w:val="24"/>
        </w:rPr>
        <w:t xml:space="preserve"> en lo que respecta a las </w:t>
      </w:r>
      <w:proofErr w:type="gramStart"/>
      <w:r w:rsidR="0020323D">
        <w:rPr>
          <w:rFonts w:ascii="Times New Roman" w:hAnsi="Times New Roman"/>
          <w:color w:val="000000"/>
          <w:sz w:val="24"/>
          <w:szCs w:val="24"/>
        </w:rPr>
        <w:t>obligación exigibles</w:t>
      </w:r>
      <w:proofErr w:type="gramEnd"/>
      <w:r w:rsidR="0020323D">
        <w:rPr>
          <w:rFonts w:ascii="Times New Roman" w:hAnsi="Times New Roman"/>
          <w:color w:val="000000"/>
          <w:sz w:val="24"/>
          <w:szCs w:val="24"/>
        </w:rPr>
        <w:t xml:space="preserve"> del periodo 2023.</w:t>
      </w:r>
    </w:p>
    <w:p w14:paraId="1361E698" w14:textId="77777777" w:rsidR="0020323D" w:rsidRDefault="0020323D" w:rsidP="0020323D">
      <w:pPr>
        <w:pStyle w:val="lineanueva"/>
        <w:pBdr>
          <w:bottom w:val="none" w:sz="0" w:space="0" w:color="auto"/>
        </w:pBdr>
        <w:ind w:left="1440"/>
        <w:rPr>
          <w:rFonts w:ascii="Times New Roman" w:hAnsi="Times New Roman"/>
          <w:color w:val="000000"/>
          <w:sz w:val="24"/>
          <w:szCs w:val="24"/>
        </w:rPr>
      </w:pPr>
    </w:p>
    <w:p w14:paraId="7780F5A2" w14:textId="14F8A66A" w:rsidR="00BC0BEA" w:rsidRDefault="00A41634" w:rsidP="00BC0BEA">
      <w:pPr>
        <w:pStyle w:val="lineanueva"/>
        <w:numPr>
          <w:ilvl w:val="0"/>
          <w:numId w:val="5"/>
        </w:numPr>
        <w:pBdr>
          <w:bottom w:val="none" w:sz="0" w:space="0" w:color="auto"/>
        </w:pBdr>
        <w:rPr>
          <w:rFonts w:ascii="Times New Roman" w:hAnsi="Times New Roman"/>
          <w:b/>
          <w:bCs/>
          <w:color w:val="000000"/>
          <w:sz w:val="24"/>
          <w:szCs w:val="24"/>
          <w:u w:val="single"/>
        </w:rPr>
      </w:pPr>
      <w:r w:rsidRPr="00BC0BEA">
        <w:rPr>
          <w:rFonts w:ascii="Times New Roman" w:hAnsi="Times New Roman"/>
          <w:b/>
          <w:bCs/>
          <w:color w:val="000000"/>
          <w:sz w:val="24"/>
          <w:szCs w:val="24"/>
          <w:u w:val="single"/>
        </w:rPr>
        <w:t>Notificación</w:t>
      </w:r>
    </w:p>
    <w:p w14:paraId="08F76053" w14:textId="13ED5EE9" w:rsidR="00BC0BEA" w:rsidRDefault="00BC0BEA" w:rsidP="0020323D">
      <w:pPr>
        <w:pStyle w:val="lineanueva"/>
        <w:pBdr>
          <w:bottom w:val="none" w:sz="0" w:space="0" w:color="auto"/>
        </w:pBdr>
        <w:rPr>
          <w:rFonts w:ascii="Times New Roman" w:hAnsi="Times New Roman"/>
          <w:color w:val="000000"/>
          <w:sz w:val="24"/>
          <w:szCs w:val="24"/>
        </w:rPr>
      </w:pPr>
      <w:r>
        <w:rPr>
          <w:rFonts w:ascii="Times New Roman" w:hAnsi="Times New Roman"/>
          <w:color w:val="000000"/>
          <w:sz w:val="24"/>
          <w:szCs w:val="24"/>
        </w:rPr>
        <w:t xml:space="preserve">La </w:t>
      </w:r>
      <w:r w:rsidRPr="00BC0BEA">
        <w:rPr>
          <w:rFonts w:ascii="Times New Roman" w:hAnsi="Times New Roman"/>
          <w:color w:val="000000"/>
          <w:sz w:val="24"/>
          <w:szCs w:val="24"/>
        </w:rPr>
        <w:t>Agencia de Recaudación comunicará a los contribuyentes que resulten alcanzados</w:t>
      </w:r>
      <w:r w:rsidR="0020323D">
        <w:rPr>
          <w:rFonts w:ascii="Times New Roman" w:hAnsi="Times New Roman"/>
          <w:color w:val="000000"/>
          <w:sz w:val="24"/>
          <w:szCs w:val="24"/>
        </w:rPr>
        <w:t xml:space="preserve"> por la obligación de abonar el anticipo adicional</w:t>
      </w:r>
      <w:r w:rsidRPr="00BC0BEA">
        <w:rPr>
          <w:rFonts w:ascii="Times New Roman" w:hAnsi="Times New Roman"/>
          <w:color w:val="000000"/>
          <w:sz w:val="24"/>
          <w:szCs w:val="24"/>
        </w:rPr>
        <w:t>, a través de sus respectivos domicilios fiscales electrónicos, el importe a ingresar y la fecha de vencimiento establecida al efecto, junto con los datos en función de los cuales se ha verificado</w:t>
      </w:r>
      <w:r w:rsidR="0020323D">
        <w:rPr>
          <w:rFonts w:ascii="Times New Roman" w:hAnsi="Times New Roman"/>
          <w:color w:val="000000"/>
          <w:sz w:val="24"/>
          <w:szCs w:val="24"/>
        </w:rPr>
        <w:t xml:space="preserve"> </w:t>
      </w:r>
      <w:r w:rsidR="0020323D" w:rsidRPr="0020323D">
        <w:rPr>
          <w:rFonts w:ascii="Times New Roman" w:hAnsi="Times New Roman"/>
          <w:color w:val="000000"/>
          <w:sz w:val="24"/>
          <w:szCs w:val="24"/>
        </w:rPr>
        <w:t>que revisten el carácter de grandes contribuyentes y desarrollan una actividad que corresponde a un mercado con un grado de concentración elevado</w:t>
      </w:r>
    </w:p>
    <w:p w14:paraId="6AC3FD6D" w14:textId="77777777" w:rsidR="0020323D" w:rsidRDefault="0020323D" w:rsidP="00BC0BEA">
      <w:pPr>
        <w:pStyle w:val="lineanueva"/>
        <w:pBdr>
          <w:bottom w:val="none" w:sz="0" w:space="0" w:color="auto"/>
        </w:pBdr>
        <w:ind w:left="708"/>
        <w:rPr>
          <w:rFonts w:ascii="Times New Roman" w:hAnsi="Times New Roman"/>
          <w:color w:val="000000"/>
          <w:sz w:val="24"/>
          <w:szCs w:val="24"/>
        </w:rPr>
      </w:pPr>
    </w:p>
    <w:p w14:paraId="729E4925" w14:textId="145EDCED" w:rsidR="00AB46BD" w:rsidRDefault="00AB46BD" w:rsidP="00AB46BD">
      <w:pPr>
        <w:pStyle w:val="lineanueva"/>
        <w:numPr>
          <w:ilvl w:val="0"/>
          <w:numId w:val="5"/>
        </w:numPr>
        <w:pBdr>
          <w:bottom w:val="none" w:sz="0" w:space="0" w:color="auto"/>
        </w:pBdr>
        <w:rPr>
          <w:rFonts w:ascii="Times New Roman" w:hAnsi="Times New Roman"/>
          <w:b/>
          <w:bCs/>
          <w:color w:val="000000"/>
          <w:sz w:val="24"/>
          <w:szCs w:val="24"/>
          <w:u w:val="single"/>
        </w:rPr>
      </w:pPr>
      <w:r>
        <w:rPr>
          <w:rFonts w:ascii="Times New Roman" w:hAnsi="Times New Roman"/>
          <w:b/>
          <w:bCs/>
          <w:color w:val="000000"/>
          <w:sz w:val="24"/>
          <w:szCs w:val="24"/>
          <w:u w:val="single"/>
        </w:rPr>
        <w:t>Metodología</w:t>
      </w:r>
    </w:p>
    <w:p w14:paraId="164E2021" w14:textId="1016AE02" w:rsidR="0020323D" w:rsidRDefault="0020323D" w:rsidP="0020323D">
      <w:pPr>
        <w:pStyle w:val="lineanueva"/>
        <w:pBdr>
          <w:bottom w:val="none" w:sz="0" w:space="0" w:color="auto"/>
        </w:pBdr>
        <w:rPr>
          <w:rFonts w:ascii="Times New Roman" w:hAnsi="Times New Roman"/>
          <w:b/>
          <w:bCs/>
          <w:color w:val="000000"/>
          <w:sz w:val="24"/>
          <w:szCs w:val="24"/>
          <w:u w:val="single"/>
        </w:rPr>
      </w:pPr>
      <w:r>
        <w:rPr>
          <w:rFonts w:ascii="Times New Roman" w:hAnsi="Times New Roman"/>
          <w:color w:val="000000"/>
          <w:sz w:val="24"/>
          <w:szCs w:val="24"/>
        </w:rPr>
        <w:t xml:space="preserve">La </w:t>
      </w:r>
      <w:r>
        <w:rPr>
          <w:rFonts w:ascii="Times New Roman" w:hAnsi="Times New Roman"/>
          <w:color w:val="000000"/>
          <w:sz w:val="24"/>
          <w:szCs w:val="24"/>
        </w:rPr>
        <w:t xml:space="preserve">metodología de la </w:t>
      </w:r>
      <w:r w:rsidRPr="00BC0BEA">
        <w:rPr>
          <w:rFonts w:ascii="Times New Roman" w:hAnsi="Times New Roman"/>
          <w:color w:val="000000"/>
          <w:sz w:val="24"/>
          <w:szCs w:val="24"/>
        </w:rPr>
        <w:t>Agencia de Recaudación</w:t>
      </w:r>
      <w:r>
        <w:rPr>
          <w:rFonts w:ascii="Times New Roman" w:hAnsi="Times New Roman"/>
          <w:color w:val="000000"/>
          <w:sz w:val="24"/>
          <w:szCs w:val="24"/>
        </w:rPr>
        <w:t xml:space="preserve"> será la siguiente:</w:t>
      </w:r>
    </w:p>
    <w:p w14:paraId="698F5A9B" w14:textId="4F896BE2" w:rsidR="00AB46BD" w:rsidRDefault="00AB46BD" w:rsidP="0020323D">
      <w:pPr>
        <w:pStyle w:val="lineanueva"/>
        <w:numPr>
          <w:ilvl w:val="1"/>
          <w:numId w:val="5"/>
        </w:numPr>
        <w:pBdr>
          <w:bottom w:val="none" w:sz="0" w:space="0" w:color="auto"/>
        </w:pBdr>
        <w:ind w:left="1134" w:hanging="425"/>
        <w:rPr>
          <w:rFonts w:ascii="Times New Roman" w:hAnsi="Times New Roman"/>
          <w:color w:val="000000"/>
          <w:sz w:val="24"/>
          <w:szCs w:val="24"/>
        </w:rPr>
      </w:pPr>
      <w:r>
        <w:rPr>
          <w:rFonts w:ascii="Times New Roman" w:hAnsi="Times New Roman"/>
          <w:color w:val="000000"/>
          <w:sz w:val="24"/>
          <w:szCs w:val="24"/>
        </w:rPr>
        <w:t>Se fijará</w:t>
      </w:r>
      <w:r w:rsidRPr="00AB46BD">
        <w:t xml:space="preserve"> </w:t>
      </w:r>
      <w:r w:rsidR="0020323D">
        <w:rPr>
          <w:rFonts w:ascii="Times New Roman" w:hAnsi="Times New Roman"/>
          <w:color w:val="000000"/>
          <w:sz w:val="24"/>
          <w:szCs w:val="24"/>
        </w:rPr>
        <w:t xml:space="preserve">el importe del anticipo adicional </w:t>
      </w:r>
      <w:r w:rsidRPr="00AB46BD">
        <w:rPr>
          <w:rFonts w:ascii="Times New Roman" w:hAnsi="Times New Roman"/>
          <w:color w:val="000000"/>
          <w:sz w:val="24"/>
          <w:szCs w:val="24"/>
        </w:rPr>
        <w:t>en cuatro (4) veces el monto del impuesto determinado del anticipo del mes de octubre de 2023.</w:t>
      </w:r>
    </w:p>
    <w:p w14:paraId="52E61B8C" w14:textId="02D40DA4" w:rsidR="00AB46BD" w:rsidRDefault="00AB46BD" w:rsidP="0020323D">
      <w:pPr>
        <w:pStyle w:val="lineanueva"/>
        <w:numPr>
          <w:ilvl w:val="1"/>
          <w:numId w:val="5"/>
        </w:numPr>
        <w:pBdr>
          <w:bottom w:val="none" w:sz="0" w:space="0" w:color="auto"/>
        </w:pBdr>
        <w:ind w:left="1134" w:hanging="425"/>
        <w:rPr>
          <w:rFonts w:ascii="Times New Roman" w:hAnsi="Times New Roman"/>
          <w:color w:val="000000"/>
          <w:sz w:val="24"/>
          <w:szCs w:val="24"/>
        </w:rPr>
      </w:pPr>
      <w:r w:rsidRPr="00AB46BD">
        <w:rPr>
          <w:rFonts w:ascii="Times New Roman" w:hAnsi="Times New Roman"/>
          <w:color w:val="000000"/>
          <w:sz w:val="24"/>
          <w:szCs w:val="24"/>
        </w:rPr>
        <w:t xml:space="preserve">En el caso </w:t>
      </w:r>
      <w:r w:rsidR="0020323D">
        <w:rPr>
          <w:rFonts w:ascii="Times New Roman" w:hAnsi="Times New Roman"/>
          <w:color w:val="000000"/>
          <w:sz w:val="24"/>
          <w:szCs w:val="24"/>
        </w:rPr>
        <w:t xml:space="preserve">de contribuyentes </w:t>
      </w:r>
      <w:r w:rsidRPr="00AB46BD">
        <w:rPr>
          <w:rFonts w:ascii="Times New Roman" w:hAnsi="Times New Roman"/>
          <w:color w:val="000000"/>
          <w:sz w:val="24"/>
          <w:szCs w:val="24"/>
        </w:rPr>
        <w:t xml:space="preserve">que no hubieren presentado declaración jurada o no hayan declarado ingresos en ese mes, </w:t>
      </w:r>
      <w:r w:rsidR="0020323D">
        <w:rPr>
          <w:rFonts w:ascii="Times New Roman" w:hAnsi="Times New Roman"/>
          <w:color w:val="000000"/>
          <w:sz w:val="24"/>
          <w:szCs w:val="24"/>
        </w:rPr>
        <w:t xml:space="preserve">el importe del anticipo adicional </w:t>
      </w:r>
      <w:r w:rsidRPr="00AB46BD">
        <w:rPr>
          <w:rFonts w:ascii="Times New Roman" w:hAnsi="Times New Roman"/>
          <w:color w:val="000000"/>
          <w:sz w:val="24"/>
          <w:szCs w:val="24"/>
        </w:rPr>
        <w:t>se fija en cuatro (4) veces el importe del impuesto determinado del último anticipo no prescripto más reciente declarado, incrementado</w:t>
      </w:r>
      <w:r w:rsidR="009D3B0A">
        <w:rPr>
          <w:rFonts w:ascii="Times New Roman" w:hAnsi="Times New Roman"/>
          <w:color w:val="000000"/>
          <w:sz w:val="24"/>
          <w:szCs w:val="24"/>
        </w:rPr>
        <w:t xml:space="preserve"> en un setenta por ciento (70%).</w:t>
      </w:r>
    </w:p>
    <w:p w14:paraId="05EA783F" w14:textId="6DF2D7A0" w:rsidR="00AB46BD" w:rsidRDefault="00AB46BD" w:rsidP="0020323D">
      <w:pPr>
        <w:pStyle w:val="lineanueva"/>
        <w:numPr>
          <w:ilvl w:val="1"/>
          <w:numId w:val="5"/>
        </w:numPr>
        <w:pBdr>
          <w:bottom w:val="none" w:sz="0" w:space="0" w:color="auto"/>
        </w:pBdr>
        <w:ind w:left="1134" w:hanging="425"/>
        <w:rPr>
          <w:rFonts w:ascii="Times New Roman" w:hAnsi="Times New Roman"/>
          <w:color w:val="000000"/>
          <w:sz w:val="24"/>
          <w:szCs w:val="24"/>
        </w:rPr>
      </w:pPr>
      <w:r w:rsidRPr="00AB46BD">
        <w:rPr>
          <w:rFonts w:ascii="Times New Roman" w:hAnsi="Times New Roman"/>
          <w:color w:val="000000"/>
          <w:sz w:val="24"/>
          <w:szCs w:val="24"/>
        </w:rPr>
        <w:t xml:space="preserve">El monto del anticipo adicional que corresponda a cada contribuyente alcanzado será liquidado por </w:t>
      </w:r>
      <w:r>
        <w:rPr>
          <w:rFonts w:ascii="Times New Roman" w:hAnsi="Times New Roman"/>
          <w:color w:val="000000"/>
          <w:sz w:val="24"/>
          <w:szCs w:val="24"/>
        </w:rPr>
        <w:t>la</w:t>
      </w:r>
      <w:r w:rsidRPr="00AB46BD">
        <w:rPr>
          <w:rFonts w:ascii="Times New Roman" w:hAnsi="Times New Roman"/>
          <w:color w:val="000000"/>
          <w:sz w:val="24"/>
          <w:szCs w:val="24"/>
        </w:rPr>
        <w:t xml:space="preserve"> Agencia de Recaudación.</w:t>
      </w:r>
    </w:p>
    <w:p w14:paraId="6B9DCCF2" w14:textId="6F89ACD6" w:rsidR="00AB46BD" w:rsidRDefault="00AB46BD" w:rsidP="009D3B0A">
      <w:pPr>
        <w:pStyle w:val="lineanueva"/>
        <w:pBdr>
          <w:bottom w:val="none" w:sz="0" w:space="0" w:color="auto"/>
        </w:pBdr>
        <w:ind w:left="1134"/>
        <w:rPr>
          <w:rFonts w:ascii="Times New Roman" w:hAnsi="Times New Roman"/>
          <w:color w:val="000000"/>
          <w:sz w:val="24"/>
          <w:szCs w:val="24"/>
        </w:rPr>
      </w:pPr>
      <w:r w:rsidRPr="00AB46BD">
        <w:rPr>
          <w:rFonts w:ascii="Times New Roman" w:hAnsi="Times New Roman"/>
          <w:color w:val="000000"/>
          <w:sz w:val="24"/>
          <w:szCs w:val="24"/>
        </w:rPr>
        <w:t>Cuando el contribuyente registre saldos a favor en el impuesto, la liquidación referida en el párrafo anterior será emitida por la diferencia que resulte adeudada una vez computados los excedentes registrados en la cuenta corriente de dicho sujeto.</w:t>
      </w:r>
    </w:p>
    <w:p w14:paraId="0FB86EED" w14:textId="1A8332E6" w:rsidR="009D3B0A" w:rsidRDefault="009D3B0A" w:rsidP="009D3B0A">
      <w:pPr>
        <w:pStyle w:val="lineanueva"/>
        <w:numPr>
          <w:ilvl w:val="1"/>
          <w:numId w:val="5"/>
        </w:numPr>
        <w:pBdr>
          <w:bottom w:val="none" w:sz="0" w:space="0" w:color="auto"/>
        </w:pBdr>
        <w:ind w:left="1134" w:hanging="425"/>
        <w:rPr>
          <w:rFonts w:ascii="Times New Roman" w:hAnsi="Times New Roman"/>
          <w:color w:val="000000"/>
          <w:sz w:val="24"/>
          <w:szCs w:val="24"/>
        </w:rPr>
      </w:pPr>
      <w:r w:rsidRPr="009D3B0A">
        <w:rPr>
          <w:rFonts w:ascii="Times New Roman" w:hAnsi="Times New Roman"/>
          <w:color w:val="000000"/>
          <w:sz w:val="24"/>
          <w:szCs w:val="24"/>
        </w:rPr>
        <w:lastRenderedPageBreak/>
        <w:t>Los contribuyentes deberán obtener la liquidación para el pago del anticipo adicional a través de la aplicación específica que se encontrará disponible en el sitio oficial de internet de esta Agencia de Recaudación (www.arba.gob.ar), a la que deberán acceder utilizando su Clave Única de Identificación Tributaria (CUIT) y Clave de Identificación Tributaria (CIT)</w:t>
      </w:r>
    </w:p>
    <w:p w14:paraId="4FBF1C25" w14:textId="77777777" w:rsidR="00DA2430" w:rsidRDefault="00DA2430" w:rsidP="00DA2430">
      <w:pPr>
        <w:pStyle w:val="lineanueva"/>
        <w:pBdr>
          <w:bottom w:val="none" w:sz="0" w:space="0" w:color="auto"/>
        </w:pBdr>
        <w:rPr>
          <w:rFonts w:ascii="Times New Roman" w:hAnsi="Times New Roman"/>
          <w:b/>
          <w:bCs/>
          <w:color w:val="000000"/>
          <w:sz w:val="24"/>
          <w:szCs w:val="24"/>
          <w:u w:val="single"/>
        </w:rPr>
      </w:pPr>
    </w:p>
    <w:p w14:paraId="58AD941E" w14:textId="45EA7CB6" w:rsidR="00DA2430" w:rsidRPr="00DA2430" w:rsidRDefault="00DA2430" w:rsidP="00DA2430">
      <w:pPr>
        <w:pStyle w:val="lineanueva"/>
        <w:numPr>
          <w:ilvl w:val="0"/>
          <w:numId w:val="5"/>
        </w:numPr>
        <w:pBdr>
          <w:bottom w:val="none" w:sz="0" w:space="0" w:color="auto"/>
        </w:pBdr>
        <w:rPr>
          <w:rFonts w:ascii="Times New Roman" w:hAnsi="Times New Roman"/>
          <w:b/>
          <w:bCs/>
          <w:color w:val="000000"/>
          <w:sz w:val="24"/>
          <w:szCs w:val="24"/>
          <w:u w:val="single"/>
        </w:rPr>
      </w:pPr>
      <w:r w:rsidRPr="00DA2430">
        <w:rPr>
          <w:rFonts w:ascii="Times New Roman" w:hAnsi="Times New Roman"/>
          <w:b/>
          <w:bCs/>
          <w:color w:val="000000"/>
          <w:sz w:val="24"/>
          <w:szCs w:val="24"/>
          <w:u w:val="single"/>
        </w:rPr>
        <w:t>Vencimiento del anticipo adicional</w:t>
      </w:r>
    </w:p>
    <w:p w14:paraId="31F2E9BC" w14:textId="11FAAC38" w:rsidR="00AB46BD" w:rsidRDefault="00AB46BD" w:rsidP="00DA2430">
      <w:pPr>
        <w:pStyle w:val="lineanueva"/>
        <w:pBdr>
          <w:bottom w:val="none" w:sz="0" w:space="0" w:color="auto"/>
        </w:pBdr>
        <w:rPr>
          <w:rFonts w:ascii="Times New Roman" w:hAnsi="Times New Roman"/>
          <w:color w:val="000000"/>
          <w:sz w:val="24"/>
          <w:szCs w:val="24"/>
        </w:rPr>
      </w:pPr>
      <w:r w:rsidRPr="00AB46BD">
        <w:rPr>
          <w:rFonts w:ascii="Times New Roman" w:hAnsi="Times New Roman"/>
          <w:color w:val="000000"/>
          <w:sz w:val="24"/>
          <w:szCs w:val="24"/>
        </w:rPr>
        <w:t xml:space="preserve">El anticipo adicional del Impuesto sobre los Ingresos Brutos deberá ingresarse en una (1) única cuota, </w:t>
      </w:r>
      <w:r w:rsidRPr="00DA2430">
        <w:rPr>
          <w:rFonts w:ascii="Times New Roman" w:hAnsi="Times New Roman"/>
          <w:color w:val="000000"/>
          <w:sz w:val="24"/>
          <w:szCs w:val="24"/>
          <w:u w:val="single"/>
        </w:rPr>
        <w:t>hasta el 8 de marzo de 2024</w:t>
      </w:r>
      <w:r w:rsidRPr="00AB46BD">
        <w:rPr>
          <w:rFonts w:ascii="Times New Roman" w:hAnsi="Times New Roman"/>
          <w:color w:val="000000"/>
          <w:sz w:val="24"/>
          <w:szCs w:val="24"/>
        </w:rPr>
        <w:t>, mediante las modalidades de pago habilitadas al efecto</w:t>
      </w:r>
      <w:r>
        <w:rPr>
          <w:rFonts w:ascii="Times New Roman" w:hAnsi="Times New Roman"/>
          <w:color w:val="000000"/>
          <w:sz w:val="24"/>
          <w:szCs w:val="24"/>
        </w:rPr>
        <w:t>.</w:t>
      </w:r>
    </w:p>
    <w:p w14:paraId="4C076826" w14:textId="1BDF4BC0" w:rsidR="00630774" w:rsidRDefault="00630774" w:rsidP="009D3B0A">
      <w:pPr>
        <w:pStyle w:val="lineanueva"/>
        <w:pBdr>
          <w:bottom w:val="none" w:sz="0" w:space="0" w:color="auto"/>
        </w:pBdr>
        <w:rPr>
          <w:rFonts w:ascii="Times New Roman" w:hAnsi="Times New Roman"/>
          <w:color w:val="000000"/>
          <w:sz w:val="24"/>
          <w:szCs w:val="24"/>
        </w:rPr>
      </w:pPr>
    </w:p>
    <w:p w14:paraId="6069B77A" w14:textId="31909CAA" w:rsidR="009D3B0A" w:rsidRPr="009D3B0A" w:rsidRDefault="009D3B0A" w:rsidP="009D3B0A">
      <w:pPr>
        <w:pStyle w:val="lineanueva"/>
        <w:numPr>
          <w:ilvl w:val="0"/>
          <w:numId w:val="5"/>
        </w:numPr>
        <w:pBdr>
          <w:bottom w:val="none" w:sz="0" w:space="0" w:color="auto"/>
        </w:pBdr>
        <w:rPr>
          <w:rFonts w:ascii="Times New Roman" w:hAnsi="Times New Roman"/>
          <w:b/>
          <w:bCs/>
          <w:color w:val="000000"/>
          <w:sz w:val="24"/>
          <w:szCs w:val="24"/>
          <w:u w:val="single"/>
        </w:rPr>
      </w:pPr>
      <w:r>
        <w:rPr>
          <w:rFonts w:ascii="Times New Roman" w:hAnsi="Times New Roman"/>
          <w:b/>
          <w:bCs/>
          <w:color w:val="000000"/>
          <w:sz w:val="24"/>
          <w:szCs w:val="24"/>
          <w:u w:val="single"/>
        </w:rPr>
        <w:t>Saldo a favor generado por el pago del anticipo adicional</w:t>
      </w:r>
    </w:p>
    <w:p w14:paraId="741DAAAD" w14:textId="7BBF2559" w:rsidR="00630774" w:rsidRDefault="00630774" w:rsidP="00630774">
      <w:pPr>
        <w:pStyle w:val="lineanueva"/>
        <w:pBdr>
          <w:bottom w:val="none" w:sz="0" w:space="0" w:color="auto"/>
        </w:pBdr>
        <w:rPr>
          <w:rFonts w:ascii="Times New Roman" w:hAnsi="Times New Roman"/>
          <w:color w:val="000000"/>
          <w:sz w:val="24"/>
          <w:szCs w:val="24"/>
        </w:rPr>
      </w:pPr>
      <w:r w:rsidRPr="00630774">
        <w:rPr>
          <w:rFonts w:ascii="Times New Roman" w:hAnsi="Times New Roman"/>
          <w:color w:val="000000"/>
          <w:sz w:val="24"/>
          <w:szCs w:val="24"/>
        </w:rPr>
        <w:t>El crédito generado por el pago del anticipo adicional podrá ser utilizado para la cancelación de anticipos vencidos adeudados o anticipos siguientes</w:t>
      </w:r>
      <w:r>
        <w:rPr>
          <w:rFonts w:ascii="Times New Roman" w:hAnsi="Times New Roman"/>
          <w:color w:val="000000"/>
          <w:sz w:val="24"/>
          <w:szCs w:val="24"/>
        </w:rPr>
        <w:t xml:space="preserve">, </w:t>
      </w:r>
      <w:r w:rsidRPr="00630774">
        <w:rPr>
          <w:rFonts w:ascii="Times New Roman" w:hAnsi="Times New Roman"/>
          <w:color w:val="000000"/>
          <w:sz w:val="24"/>
          <w:szCs w:val="24"/>
        </w:rPr>
        <w:t>aun excediendo el período fiscal. Sin perjuicio de ello, los contribuyentes podrán solicitar la compensación de los saldos a su favor con saldos deudores o interponer demanda de repetición, de conformidad con lo previsto en los artículos 102, 133 y concordantes del mismo Código y sus normas reglamentarias.</w:t>
      </w:r>
    </w:p>
    <w:p w14:paraId="6F08AFC8" w14:textId="77777777" w:rsidR="009D3B0A" w:rsidRDefault="009D3B0A" w:rsidP="00630774">
      <w:pPr>
        <w:pStyle w:val="lineanueva"/>
        <w:pBdr>
          <w:bottom w:val="none" w:sz="0" w:space="0" w:color="auto"/>
        </w:pBdr>
        <w:rPr>
          <w:rFonts w:ascii="Times New Roman" w:hAnsi="Times New Roman"/>
          <w:color w:val="000000"/>
          <w:sz w:val="24"/>
          <w:szCs w:val="24"/>
        </w:rPr>
      </w:pPr>
    </w:p>
    <w:p w14:paraId="63DC7772" w14:textId="61F5F37B" w:rsidR="009D3B0A" w:rsidRDefault="009D3B0A" w:rsidP="009D3B0A">
      <w:pPr>
        <w:pStyle w:val="lineanueva"/>
        <w:numPr>
          <w:ilvl w:val="0"/>
          <w:numId w:val="9"/>
        </w:numPr>
        <w:pBdr>
          <w:bottom w:val="none" w:sz="0" w:space="0" w:color="auto"/>
        </w:pBdr>
        <w:rPr>
          <w:rFonts w:ascii="Times New Roman" w:hAnsi="Times New Roman"/>
          <w:color w:val="000000"/>
          <w:sz w:val="24"/>
          <w:szCs w:val="24"/>
        </w:rPr>
      </w:pPr>
      <w:r>
        <w:rPr>
          <w:rFonts w:ascii="Times New Roman" w:hAnsi="Times New Roman"/>
          <w:b/>
          <w:bCs/>
          <w:color w:val="000000"/>
          <w:sz w:val="24"/>
          <w:szCs w:val="24"/>
          <w:u w:val="single"/>
        </w:rPr>
        <w:t>Beneficios por haber abonado el anticipo adicional</w:t>
      </w:r>
    </w:p>
    <w:p w14:paraId="2310BD81" w14:textId="0F12EB60" w:rsidR="00630774" w:rsidRDefault="00630774" w:rsidP="00630774">
      <w:pPr>
        <w:pStyle w:val="lineanueva"/>
        <w:pBdr>
          <w:bottom w:val="none" w:sz="0" w:space="0" w:color="auto"/>
        </w:pBdr>
        <w:rPr>
          <w:rFonts w:ascii="Times New Roman" w:hAnsi="Times New Roman"/>
          <w:color w:val="000000"/>
          <w:sz w:val="24"/>
          <w:szCs w:val="24"/>
        </w:rPr>
      </w:pPr>
      <w:r w:rsidRPr="00630774">
        <w:rPr>
          <w:rFonts w:ascii="Times New Roman" w:hAnsi="Times New Roman"/>
          <w:color w:val="000000"/>
          <w:sz w:val="24"/>
          <w:szCs w:val="24"/>
        </w:rPr>
        <w:t xml:space="preserve">Los contribuyentes que hayan ingresado el anticipo adicional </w:t>
      </w:r>
      <w:r>
        <w:rPr>
          <w:rFonts w:ascii="Times New Roman" w:hAnsi="Times New Roman"/>
          <w:color w:val="000000"/>
          <w:sz w:val="24"/>
          <w:szCs w:val="24"/>
        </w:rPr>
        <w:t>contarán con los siguientes beneficios:</w:t>
      </w:r>
    </w:p>
    <w:p w14:paraId="1F5BBADF" w14:textId="3E6E66DA" w:rsidR="00630774" w:rsidRDefault="00630774" w:rsidP="009D3B0A">
      <w:pPr>
        <w:pStyle w:val="lineanueva"/>
        <w:numPr>
          <w:ilvl w:val="0"/>
          <w:numId w:val="10"/>
        </w:numPr>
        <w:pBdr>
          <w:bottom w:val="none" w:sz="0" w:space="0" w:color="auto"/>
        </w:pBdr>
        <w:ind w:left="1134" w:hanging="425"/>
        <w:rPr>
          <w:rFonts w:ascii="Times New Roman" w:hAnsi="Times New Roman"/>
          <w:color w:val="000000"/>
          <w:sz w:val="24"/>
          <w:szCs w:val="24"/>
        </w:rPr>
      </w:pPr>
      <w:r>
        <w:rPr>
          <w:rFonts w:ascii="Times New Roman" w:hAnsi="Times New Roman"/>
          <w:color w:val="000000"/>
          <w:sz w:val="24"/>
          <w:szCs w:val="24"/>
        </w:rPr>
        <w:t>S</w:t>
      </w:r>
      <w:r w:rsidRPr="00630774">
        <w:rPr>
          <w:rFonts w:ascii="Times New Roman" w:hAnsi="Times New Roman"/>
          <w:color w:val="000000"/>
          <w:sz w:val="24"/>
          <w:szCs w:val="24"/>
        </w:rPr>
        <w:t>erán incluidos de oficio con alícuotas morigeradas, en todos los regímenes de recaudación del tributo que utilicen padrones de contribuyentes que les resulten aplicables, a partir del mes subsiguiente a aquel en el cual se hubiera registrado, la cancelación de dicha obligación. Esta medida se mantendrá hasta tanto continúen registrándose excedentes originados por el pago del anticipo adicional.</w:t>
      </w:r>
    </w:p>
    <w:p w14:paraId="5DE3FFD6" w14:textId="01305C54" w:rsidR="00630774" w:rsidRDefault="00630774" w:rsidP="009D3B0A">
      <w:pPr>
        <w:pStyle w:val="lineanueva"/>
        <w:numPr>
          <w:ilvl w:val="0"/>
          <w:numId w:val="10"/>
        </w:numPr>
        <w:pBdr>
          <w:bottom w:val="none" w:sz="0" w:space="0" w:color="auto"/>
        </w:pBdr>
        <w:ind w:left="1134" w:hanging="425"/>
        <w:rPr>
          <w:rFonts w:ascii="Times New Roman" w:hAnsi="Times New Roman"/>
          <w:color w:val="000000"/>
          <w:sz w:val="24"/>
          <w:szCs w:val="24"/>
        </w:rPr>
      </w:pPr>
      <w:r>
        <w:rPr>
          <w:rFonts w:ascii="Times New Roman" w:hAnsi="Times New Roman"/>
          <w:color w:val="000000"/>
          <w:sz w:val="24"/>
          <w:szCs w:val="24"/>
        </w:rPr>
        <w:t>N</w:t>
      </w:r>
      <w:r w:rsidRPr="00630774">
        <w:rPr>
          <w:rFonts w:ascii="Times New Roman" w:hAnsi="Times New Roman"/>
          <w:color w:val="000000"/>
          <w:sz w:val="24"/>
          <w:szCs w:val="24"/>
        </w:rPr>
        <w:t>o les resultará aplicable el incremento de alícuotas de recaudación del Impuesto sobre los Ingresos Brutos por categoría representativa de riesgo fiscal durante los doce (12) meses posteriores al mes subsiguiente a aquel en el cual se hubiera registrado la cancelación de dicha obligación.</w:t>
      </w:r>
    </w:p>
    <w:p w14:paraId="29CB072C" w14:textId="77777777" w:rsidR="00DA2430" w:rsidRDefault="00DA2430" w:rsidP="00A41634">
      <w:pPr>
        <w:pStyle w:val="lineanueva"/>
        <w:pBdr>
          <w:bottom w:val="none" w:sz="0" w:space="0" w:color="auto"/>
        </w:pBdr>
        <w:rPr>
          <w:rFonts w:ascii="Times New Roman" w:hAnsi="Times New Roman"/>
          <w:color w:val="000000"/>
          <w:sz w:val="24"/>
          <w:szCs w:val="24"/>
        </w:rPr>
      </w:pPr>
    </w:p>
    <w:p w14:paraId="3D1DEFCC" w14:textId="103A5958" w:rsidR="00DA2430" w:rsidRPr="00DA2430" w:rsidRDefault="00DA2430" w:rsidP="00DA2430">
      <w:pPr>
        <w:pStyle w:val="lineanueva"/>
        <w:numPr>
          <w:ilvl w:val="0"/>
          <w:numId w:val="9"/>
        </w:numPr>
        <w:pBdr>
          <w:bottom w:val="none" w:sz="0" w:space="0" w:color="auto"/>
        </w:pBdr>
        <w:rPr>
          <w:rFonts w:ascii="Times New Roman" w:hAnsi="Times New Roman"/>
          <w:b/>
          <w:color w:val="000000"/>
          <w:sz w:val="24"/>
          <w:szCs w:val="24"/>
        </w:rPr>
      </w:pPr>
      <w:r>
        <w:rPr>
          <w:rFonts w:ascii="Times New Roman" w:hAnsi="Times New Roman"/>
          <w:b/>
          <w:bCs/>
          <w:color w:val="000000"/>
          <w:sz w:val="24"/>
          <w:szCs w:val="24"/>
          <w:u w:val="single"/>
        </w:rPr>
        <w:t>Sanciones por no haber abonado el anticipo adicional</w:t>
      </w:r>
    </w:p>
    <w:p w14:paraId="293D7D25" w14:textId="6CDEDF00" w:rsidR="00A41634" w:rsidRDefault="00A41634" w:rsidP="00A41634">
      <w:pPr>
        <w:pStyle w:val="lineanueva"/>
        <w:pBdr>
          <w:bottom w:val="none" w:sz="0" w:space="0" w:color="auto"/>
        </w:pBdr>
        <w:rPr>
          <w:rFonts w:ascii="Times New Roman" w:hAnsi="Times New Roman"/>
          <w:color w:val="000000"/>
          <w:sz w:val="24"/>
          <w:szCs w:val="24"/>
        </w:rPr>
      </w:pPr>
      <w:r w:rsidRPr="00A41634">
        <w:rPr>
          <w:rFonts w:ascii="Times New Roman" w:hAnsi="Times New Roman"/>
          <w:color w:val="000000"/>
          <w:sz w:val="24"/>
          <w:szCs w:val="24"/>
        </w:rPr>
        <w:t>Los contribuyentes que no ingresen el anticipo adicional dentro del plazo dispuesto serán incluidos en la máxima categoría representativa de riesgo fiscal, durante los doce (12) meses posteriores a aquel en el cual opere el referido vencimiento.</w:t>
      </w:r>
    </w:p>
    <w:p w14:paraId="50C0089C" w14:textId="20357006" w:rsidR="005E2DD8" w:rsidRDefault="00A41634" w:rsidP="00324213">
      <w:pPr>
        <w:jc w:val="both"/>
        <w:rPr>
          <w:rFonts w:ascii="Times New Roman" w:hAnsi="Times New Roman" w:cs="Times New Roman"/>
          <w:sz w:val="24"/>
          <w:szCs w:val="24"/>
        </w:rPr>
      </w:pPr>
      <w:r>
        <w:rPr>
          <w:rFonts w:ascii="Times New Roman" w:hAnsi="Times New Roman" w:cs="Times New Roman"/>
          <w:sz w:val="24"/>
          <w:szCs w:val="24"/>
        </w:rPr>
        <w:t>L</w:t>
      </w:r>
      <w:r w:rsidRPr="00A41634">
        <w:rPr>
          <w:rFonts w:ascii="Times New Roman" w:hAnsi="Times New Roman" w:cs="Times New Roman"/>
          <w:sz w:val="24"/>
          <w:szCs w:val="24"/>
        </w:rPr>
        <w:t xml:space="preserve">as deudas correspondientes al anticipo adicional, sus intereses, accesorios y multas, no podrán ser regularizadas mediante el </w:t>
      </w:r>
      <w:r w:rsidR="00A00067">
        <w:rPr>
          <w:rFonts w:ascii="Times New Roman" w:hAnsi="Times New Roman" w:cs="Times New Roman"/>
          <w:sz w:val="24"/>
          <w:szCs w:val="24"/>
        </w:rPr>
        <w:t>“</w:t>
      </w:r>
      <w:r w:rsidR="00A00067" w:rsidRPr="00A00067">
        <w:rPr>
          <w:rFonts w:ascii="Times New Roman" w:hAnsi="Times New Roman" w:cs="Times New Roman"/>
          <w:sz w:val="24"/>
          <w:szCs w:val="24"/>
        </w:rPr>
        <w:t xml:space="preserve">Régimen de regularización para deudas en </w:t>
      </w:r>
      <w:r w:rsidR="00A00067" w:rsidRPr="00A00067">
        <w:rPr>
          <w:rFonts w:ascii="Times New Roman" w:hAnsi="Times New Roman" w:cs="Times New Roman"/>
          <w:sz w:val="24"/>
          <w:szCs w:val="24"/>
        </w:rPr>
        <w:lastRenderedPageBreak/>
        <w:t>instancia prejudicial vencidas o devengadas entre el 1° de enero de 2024 y hasta el 31 de diciembre de 2024</w:t>
      </w:r>
      <w:r w:rsidR="00A00067">
        <w:rPr>
          <w:rFonts w:ascii="Times New Roman" w:hAnsi="Times New Roman" w:cs="Times New Roman"/>
          <w:sz w:val="24"/>
          <w:szCs w:val="24"/>
        </w:rPr>
        <w:t>”</w:t>
      </w:r>
    </w:p>
    <w:p w14:paraId="7217376A" w14:textId="29822EC8" w:rsidR="005E2DD8" w:rsidRDefault="005E2DD8" w:rsidP="00324213">
      <w:pPr>
        <w:jc w:val="both"/>
        <w:rPr>
          <w:rFonts w:ascii="Times New Roman" w:hAnsi="Times New Roman" w:cs="Times New Roman"/>
          <w:sz w:val="24"/>
          <w:szCs w:val="24"/>
        </w:rPr>
      </w:pPr>
    </w:p>
    <w:p w14:paraId="02496FC6" w14:textId="77777777" w:rsidR="00DA2430" w:rsidRPr="00915020" w:rsidRDefault="00DA2430" w:rsidP="00324213">
      <w:pPr>
        <w:jc w:val="both"/>
        <w:rPr>
          <w:rFonts w:ascii="Times New Roman" w:hAnsi="Times New Roman" w:cs="Times New Roman"/>
          <w:sz w:val="24"/>
          <w:szCs w:val="24"/>
        </w:rPr>
      </w:pPr>
    </w:p>
    <w:p w14:paraId="7FB5C92D" w14:textId="77777777" w:rsidR="00324213" w:rsidRPr="00915020" w:rsidRDefault="00324213" w:rsidP="00DA2430">
      <w:pPr>
        <w:pStyle w:val="lineanueva"/>
        <w:numPr>
          <w:ilvl w:val="0"/>
          <w:numId w:val="9"/>
        </w:numPr>
        <w:pBdr>
          <w:bottom w:val="none" w:sz="0" w:space="0" w:color="auto"/>
        </w:pBdr>
        <w:rPr>
          <w:rFonts w:ascii="Times New Roman" w:hAnsi="Times New Roman"/>
          <w:b/>
          <w:sz w:val="24"/>
          <w:szCs w:val="24"/>
          <w:u w:val="single"/>
          <w:lang w:eastAsia="es-AR"/>
        </w:rPr>
      </w:pPr>
      <w:r w:rsidRPr="00915020">
        <w:rPr>
          <w:rFonts w:ascii="Times New Roman" w:hAnsi="Times New Roman"/>
          <w:b/>
          <w:sz w:val="24"/>
          <w:szCs w:val="24"/>
          <w:u w:val="single"/>
          <w:lang w:eastAsia="es-AR"/>
        </w:rPr>
        <w:t>Vigencia</w:t>
      </w:r>
    </w:p>
    <w:p w14:paraId="48F7C70A" w14:textId="77777777" w:rsidR="00A41634" w:rsidRPr="009D3B0A" w:rsidRDefault="00324213" w:rsidP="00324213">
      <w:pPr>
        <w:pStyle w:val="lineanueva"/>
        <w:pBdr>
          <w:bottom w:val="none" w:sz="0" w:space="0" w:color="auto"/>
        </w:pBdr>
        <w:rPr>
          <w:rFonts w:ascii="Times New Roman" w:hAnsi="Times New Roman"/>
          <w:sz w:val="24"/>
          <w:szCs w:val="24"/>
          <w:lang w:val="es-AR" w:eastAsia="es-AR"/>
        </w:rPr>
      </w:pPr>
      <w:r w:rsidRPr="00A00067">
        <w:rPr>
          <w:rFonts w:ascii="Times New Roman" w:hAnsi="Times New Roman"/>
          <w:sz w:val="24"/>
          <w:szCs w:val="24"/>
          <w:lang w:val="es-AR" w:eastAsia="es-AR"/>
        </w:rPr>
        <w:t xml:space="preserve">Las disposiciones de la presente ley tienen aplicación </w:t>
      </w:r>
      <w:r w:rsidRPr="009D3B0A">
        <w:rPr>
          <w:rFonts w:ascii="Times New Roman" w:hAnsi="Times New Roman"/>
          <w:b/>
          <w:sz w:val="24"/>
          <w:szCs w:val="24"/>
          <w:lang w:val="es-AR" w:eastAsia="es-AR"/>
        </w:rPr>
        <w:t xml:space="preserve">a partir del 1 de </w:t>
      </w:r>
      <w:proofErr w:type="gramStart"/>
      <w:r w:rsidRPr="009D3B0A">
        <w:rPr>
          <w:rFonts w:ascii="Times New Roman" w:hAnsi="Times New Roman"/>
          <w:b/>
          <w:sz w:val="24"/>
          <w:szCs w:val="24"/>
          <w:lang w:val="es-AR" w:eastAsia="es-AR"/>
        </w:rPr>
        <w:t>Enero</w:t>
      </w:r>
      <w:proofErr w:type="gramEnd"/>
      <w:r w:rsidRPr="009D3B0A">
        <w:rPr>
          <w:rFonts w:ascii="Times New Roman" w:hAnsi="Times New Roman"/>
          <w:b/>
          <w:sz w:val="24"/>
          <w:szCs w:val="24"/>
          <w:lang w:val="es-AR" w:eastAsia="es-AR"/>
        </w:rPr>
        <w:t xml:space="preserve"> de 2024, inclusive</w:t>
      </w:r>
      <w:r w:rsidRPr="009D3B0A">
        <w:rPr>
          <w:rFonts w:ascii="Times New Roman" w:hAnsi="Times New Roman"/>
          <w:sz w:val="24"/>
          <w:szCs w:val="24"/>
          <w:lang w:val="es-AR" w:eastAsia="es-AR"/>
        </w:rPr>
        <w:t>.</w:t>
      </w:r>
    </w:p>
    <w:p w14:paraId="7BF3C44C" w14:textId="2E955BF2" w:rsidR="00324213" w:rsidRPr="00915020" w:rsidRDefault="00A41634" w:rsidP="00324213">
      <w:pPr>
        <w:pStyle w:val="lineanueva"/>
        <w:pBdr>
          <w:bottom w:val="none" w:sz="0" w:space="0" w:color="auto"/>
        </w:pBdr>
        <w:rPr>
          <w:rFonts w:ascii="Times New Roman" w:hAnsi="Times New Roman"/>
          <w:sz w:val="24"/>
          <w:szCs w:val="24"/>
          <w:lang w:val="es-AR" w:eastAsia="es-AR"/>
        </w:rPr>
      </w:pPr>
      <w:r>
        <w:rPr>
          <w:rFonts w:ascii="Times New Roman" w:hAnsi="Times New Roman"/>
          <w:sz w:val="24"/>
          <w:szCs w:val="24"/>
          <w:lang w:val="es-AR" w:eastAsia="es-AR"/>
        </w:rPr>
        <w:t xml:space="preserve">Las disposiciones de la Res. Normativa tienen aplicación </w:t>
      </w:r>
      <w:r w:rsidRPr="009D3B0A">
        <w:rPr>
          <w:rFonts w:ascii="Times New Roman" w:hAnsi="Times New Roman"/>
          <w:b/>
          <w:sz w:val="24"/>
          <w:szCs w:val="24"/>
          <w:lang w:val="es-AR" w:eastAsia="es-AR"/>
        </w:rPr>
        <w:t xml:space="preserve">a partir del 28 de </w:t>
      </w:r>
      <w:proofErr w:type="gramStart"/>
      <w:r w:rsidRPr="009D3B0A">
        <w:rPr>
          <w:rFonts w:ascii="Times New Roman" w:hAnsi="Times New Roman"/>
          <w:b/>
          <w:sz w:val="24"/>
          <w:szCs w:val="24"/>
          <w:lang w:val="es-AR" w:eastAsia="es-AR"/>
        </w:rPr>
        <w:t>Febrero</w:t>
      </w:r>
      <w:proofErr w:type="gramEnd"/>
      <w:r w:rsidRPr="009D3B0A">
        <w:rPr>
          <w:rFonts w:ascii="Times New Roman" w:hAnsi="Times New Roman"/>
          <w:b/>
          <w:sz w:val="24"/>
          <w:szCs w:val="24"/>
          <w:lang w:val="es-AR" w:eastAsia="es-AR"/>
        </w:rPr>
        <w:t xml:space="preserve"> de 2024, inclusive.</w:t>
      </w:r>
      <w:r w:rsidR="00324213" w:rsidRPr="00915020">
        <w:rPr>
          <w:rFonts w:ascii="Times New Roman" w:hAnsi="Times New Roman"/>
          <w:sz w:val="24"/>
          <w:szCs w:val="24"/>
          <w:lang w:val="es-AR" w:eastAsia="es-AR"/>
        </w:rPr>
        <w:t xml:space="preserve"> </w:t>
      </w:r>
    </w:p>
    <w:p w14:paraId="51BE88AD" w14:textId="77777777" w:rsidR="00324213" w:rsidRPr="00915020" w:rsidRDefault="00324213" w:rsidP="00324213">
      <w:pPr>
        <w:rPr>
          <w:rFonts w:ascii="Times New Roman" w:hAnsi="Times New Roman" w:cs="Times New Roman"/>
          <w:sz w:val="24"/>
          <w:szCs w:val="24"/>
        </w:rPr>
      </w:pPr>
    </w:p>
    <w:p w14:paraId="158E3270" w14:textId="77777777" w:rsidR="00324213" w:rsidRPr="00915020" w:rsidRDefault="00324213" w:rsidP="00324213">
      <w:pPr>
        <w:rPr>
          <w:rFonts w:ascii="Times New Roman" w:hAnsi="Times New Roman" w:cs="Times New Roman"/>
          <w:sz w:val="24"/>
          <w:szCs w:val="24"/>
        </w:rPr>
      </w:pPr>
    </w:p>
    <w:p w14:paraId="0B31A126" w14:textId="77777777" w:rsidR="00324213" w:rsidRPr="00915020" w:rsidRDefault="00CF0E5F" w:rsidP="00324213">
      <w:pPr>
        <w:jc w:val="both"/>
        <w:rPr>
          <w:rFonts w:ascii="Times New Roman" w:hAnsi="Times New Roman" w:cs="Times New Roman"/>
          <w:sz w:val="24"/>
          <w:szCs w:val="24"/>
        </w:rPr>
      </w:pPr>
      <w:r>
        <w:rPr>
          <w:rFonts w:ascii="Times New Roman" w:hAnsi="Times New Roman" w:cs="Times New Roman"/>
          <w:sz w:val="24"/>
          <w:szCs w:val="24"/>
        </w:rPr>
        <w:t>Buenos Aires, 2</w:t>
      </w:r>
      <w:r w:rsidR="000B4E5D">
        <w:rPr>
          <w:rFonts w:ascii="Times New Roman" w:hAnsi="Times New Roman" w:cs="Times New Roman"/>
          <w:sz w:val="24"/>
          <w:szCs w:val="24"/>
        </w:rPr>
        <w:t>8</w:t>
      </w:r>
      <w:r w:rsidR="00324213" w:rsidRPr="00915020">
        <w:rPr>
          <w:rFonts w:ascii="Times New Roman" w:hAnsi="Times New Roman" w:cs="Times New Roman"/>
          <w:sz w:val="24"/>
          <w:szCs w:val="24"/>
        </w:rPr>
        <w:t xml:space="preserve"> de </w:t>
      </w:r>
      <w:proofErr w:type="gramStart"/>
      <w:r w:rsidR="000B4E5D">
        <w:rPr>
          <w:rFonts w:ascii="Times New Roman" w:hAnsi="Times New Roman" w:cs="Times New Roman"/>
          <w:sz w:val="24"/>
          <w:szCs w:val="24"/>
        </w:rPr>
        <w:t>Febrero</w:t>
      </w:r>
      <w:proofErr w:type="gramEnd"/>
      <w:r w:rsidR="00324213" w:rsidRPr="00915020">
        <w:rPr>
          <w:rFonts w:ascii="Times New Roman" w:hAnsi="Times New Roman" w:cs="Times New Roman"/>
          <w:sz w:val="24"/>
          <w:szCs w:val="24"/>
        </w:rPr>
        <w:t xml:space="preserve"> de 2024.</w:t>
      </w:r>
    </w:p>
    <w:p w14:paraId="09FFD399" w14:textId="77777777" w:rsidR="00324213" w:rsidRPr="00915020" w:rsidRDefault="00324213" w:rsidP="00324213">
      <w:pPr>
        <w:jc w:val="both"/>
        <w:rPr>
          <w:rFonts w:ascii="Times New Roman" w:hAnsi="Times New Roman" w:cs="Times New Roman"/>
          <w:sz w:val="24"/>
          <w:szCs w:val="24"/>
        </w:rPr>
      </w:pPr>
    </w:p>
    <w:p w14:paraId="36654F2D" w14:textId="77777777" w:rsidR="00393FC6" w:rsidRPr="00915020" w:rsidRDefault="00393FC6" w:rsidP="00324213">
      <w:pPr>
        <w:spacing w:after="0" w:line="240" w:lineRule="auto"/>
        <w:ind w:left="112" w:right="112"/>
        <w:jc w:val="both"/>
        <w:rPr>
          <w:rFonts w:ascii="Times New Roman" w:eastAsia="Times New Roman" w:hAnsi="Times New Roman" w:cs="Times New Roman"/>
          <w:color w:val="000000"/>
          <w:sz w:val="24"/>
          <w:szCs w:val="24"/>
          <w:lang w:eastAsia="es-ES"/>
        </w:rPr>
      </w:pPr>
    </w:p>
    <w:p w14:paraId="679B4CD5" w14:textId="77777777" w:rsidR="00324213" w:rsidRPr="00915020" w:rsidRDefault="00324213" w:rsidP="00324213">
      <w:pPr>
        <w:jc w:val="both"/>
        <w:rPr>
          <w:rFonts w:ascii="Times New Roman" w:hAnsi="Times New Roman" w:cs="Times New Roman"/>
          <w:sz w:val="24"/>
          <w:szCs w:val="24"/>
        </w:rPr>
      </w:pPr>
    </w:p>
    <w:p w14:paraId="4BDF7F44" w14:textId="77777777" w:rsidR="00324213" w:rsidRPr="00915020" w:rsidRDefault="00324213">
      <w:pPr>
        <w:rPr>
          <w:rFonts w:ascii="Times New Roman" w:hAnsi="Times New Roman" w:cs="Times New Roman"/>
          <w:sz w:val="24"/>
          <w:szCs w:val="24"/>
        </w:rPr>
      </w:pPr>
    </w:p>
    <w:sectPr w:rsidR="00324213" w:rsidRPr="00915020" w:rsidSect="00B83A1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3B9E" w14:textId="77777777" w:rsidR="00B83A1E" w:rsidRDefault="00B83A1E" w:rsidP="00324213">
      <w:pPr>
        <w:spacing w:after="0" w:line="240" w:lineRule="auto"/>
      </w:pPr>
      <w:r>
        <w:separator/>
      </w:r>
    </w:p>
  </w:endnote>
  <w:endnote w:type="continuationSeparator" w:id="0">
    <w:p w14:paraId="5A244A76" w14:textId="77777777" w:rsidR="00B83A1E" w:rsidRDefault="00B83A1E" w:rsidP="0032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45510" w14:textId="77777777" w:rsidR="00B83A1E" w:rsidRDefault="00B83A1E" w:rsidP="00324213">
      <w:pPr>
        <w:spacing w:after="0" w:line="240" w:lineRule="auto"/>
      </w:pPr>
      <w:r>
        <w:separator/>
      </w:r>
    </w:p>
  </w:footnote>
  <w:footnote w:type="continuationSeparator" w:id="0">
    <w:p w14:paraId="219EC3FB" w14:textId="77777777" w:rsidR="00B83A1E" w:rsidRDefault="00B83A1E" w:rsidP="0032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FA75" w14:textId="77777777" w:rsidR="009B7ED3" w:rsidRDefault="009B7ED3" w:rsidP="00324213">
    <w:pPr>
      <w:pStyle w:val="Encabezado"/>
      <w:pBdr>
        <w:bottom w:val="single" w:sz="12" w:space="1" w:color="000080"/>
      </w:pBdr>
      <w:jc w:val="right"/>
      <w:rPr>
        <w:b/>
        <w:color w:val="000080"/>
      </w:rPr>
    </w:pPr>
    <w:r>
      <w:rPr>
        <w:b/>
        <w:color w:val="000080"/>
      </w:rPr>
      <w:t>FABETTI, BERTANI &amp; ASOC.</w:t>
    </w:r>
  </w:p>
  <w:p w14:paraId="142216D3" w14:textId="77777777" w:rsidR="009B7ED3" w:rsidRDefault="009B7E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2E5"/>
    <w:multiLevelType w:val="hybridMultilevel"/>
    <w:tmpl w:val="6464B32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3">
      <w:start w:val="1"/>
      <w:numFmt w:val="bullet"/>
      <w:lvlText w:val="o"/>
      <w:lvlJc w:val="left"/>
      <w:pPr>
        <w:ind w:left="2160" w:hanging="360"/>
      </w:pPr>
      <w:rPr>
        <w:rFonts w:ascii="Courier New" w:hAnsi="Courier New" w:cs="Courier New"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61373B"/>
    <w:multiLevelType w:val="hybridMultilevel"/>
    <w:tmpl w:val="34B0C054"/>
    <w:lvl w:ilvl="0" w:tplc="0C0A0001">
      <w:start w:val="1"/>
      <w:numFmt w:val="bullet"/>
      <w:lvlText w:val=""/>
      <w:lvlJc w:val="left"/>
      <w:pPr>
        <w:ind w:left="1552" w:hanging="360"/>
      </w:pPr>
      <w:rPr>
        <w:rFonts w:ascii="Symbol" w:hAnsi="Symbol" w:hint="default"/>
      </w:rPr>
    </w:lvl>
    <w:lvl w:ilvl="1" w:tplc="0C0A0003" w:tentative="1">
      <w:start w:val="1"/>
      <w:numFmt w:val="bullet"/>
      <w:lvlText w:val="o"/>
      <w:lvlJc w:val="left"/>
      <w:pPr>
        <w:ind w:left="2272" w:hanging="360"/>
      </w:pPr>
      <w:rPr>
        <w:rFonts w:ascii="Courier New" w:hAnsi="Courier New" w:cs="Courier New" w:hint="default"/>
      </w:rPr>
    </w:lvl>
    <w:lvl w:ilvl="2" w:tplc="0C0A0005" w:tentative="1">
      <w:start w:val="1"/>
      <w:numFmt w:val="bullet"/>
      <w:lvlText w:val=""/>
      <w:lvlJc w:val="left"/>
      <w:pPr>
        <w:ind w:left="2992" w:hanging="360"/>
      </w:pPr>
      <w:rPr>
        <w:rFonts w:ascii="Wingdings" w:hAnsi="Wingdings" w:hint="default"/>
      </w:rPr>
    </w:lvl>
    <w:lvl w:ilvl="3" w:tplc="0C0A0001" w:tentative="1">
      <w:start w:val="1"/>
      <w:numFmt w:val="bullet"/>
      <w:lvlText w:val=""/>
      <w:lvlJc w:val="left"/>
      <w:pPr>
        <w:ind w:left="3712" w:hanging="360"/>
      </w:pPr>
      <w:rPr>
        <w:rFonts w:ascii="Symbol" w:hAnsi="Symbol" w:hint="default"/>
      </w:rPr>
    </w:lvl>
    <w:lvl w:ilvl="4" w:tplc="0C0A0003" w:tentative="1">
      <w:start w:val="1"/>
      <w:numFmt w:val="bullet"/>
      <w:lvlText w:val="o"/>
      <w:lvlJc w:val="left"/>
      <w:pPr>
        <w:ind w:left="4432" w:hanging="360"/>
      </w:pPr>
      <w:rPr>
        <w:rFonts w:ascii="Courier New" w:hAnsi="Courier New" w:cs="Courier New" w:hint="default"/>
      </w:rPr>
    </w:lvl>
    <w:lvl w:ilvl="5" w:tplc="0C0A0005" w:tentative="1">
      <w:start w:val="1"/>
      <w:numFmt w:val="bullet"/>
      <w:lvlText w:val=""/>
      <w:lvlJc w:val="left"/>
      <w:pPr>
        <w:ind w:left="5152" w:hanging="360"/>
      </w:pPr>
      <w:rPr>
        <w:rFonts w:ascii="Wingdings" w:hAnsi="Wingdings" w:hint="default"/>
      </w:rPr>
    </w:lvl>
    <w:lvl w:ilvl="6" w:tplc="0C0A0001" w:tentative="1">
      <w:start w:val="1"/>
      <w:numFmt w:val="bullet"/>
      <w:lvlText w:val=""/>
      <w:lvlJc w:val="left"/>
      <w:pPr>
        <w:ind w:left="5872" w:hanging="360"/>
      </w:pPr>
      <w:rPr>
        <w:rFonts w:ascii="Symbol" w:hAnsi="Symbol" w:hint="default"/>
      </w:rPr>
    </w:lvl>
    <w:lvl w:ilvl="7" w:tplc="0C0A0003" w:tentative="1">
      <w:start w:val="1"/>
      <w:numFmt w:val="bullet"/>
      <w:lvlText w:val="o"/>
      <w:lvlJc w:val="left"/>
      <w:pPr>
        <w:ind w:left="6592" w:hanging="360"/>
      </w:pPr>
      <w:rPr>
        <w:rFonts w:ascii="Courier New" w:hAnsi="Courier New" w:cs="Courier New" w:hint="default"/>
      </w:rPr>
    </w:lvl>
    <w:lvl w:ilvl="8" w:tplc="0C0A0005" w:tentative="1">
      <w:start w:val="1"/>
      <w:numFmt w:val="bullet"/>
      <w:lvlText w:val=""/>
      <w:lvlJc w:val="left"/>
      <w:pPr>
        <w:ind w:left="7312" w:hanging="360"/>
      </w:pPr>
      <w:rPr>
        <w:rFonts w:ascii="Wingdings" w:hAnsi="Wingdings" w:hint="default"/>
      </w:rPr>
    </w:lvl>
  </w:abstractNum>
  <w:abstractNum w:abstractNumId="2" w15:restartNumberingAfterBreak="0">
    <w:nsid w:val="35CC014F"/>
    <w:multiLevelType w:val="hybridMultilevel"/>
    <w:tmpl w:val="BD2CD2D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77000D3"/>
    <w:multiLevelType w:val="hybridMultilevel"/>
    <w:tmpl w:val="A2562E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B4B7E14"/>
    <w:multiLevelType w:val="hybridMultilevel"/>
    <w:tmpl w:val="ACA02C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C8E1A2E"/>
    <w:multiLevelType w:val="hybridMultilevel"/>
    <w:tmpl w:val="E1B2F4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CFB7F27"/>
    <w:multiLevelType w:val="hybridMultilevel"/>
    <w:tmpl w:val="95684C14"/>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8" w15:restartNumberingAfterBreak="0">
    <w:nsid w:val="55916FE2"/>
    <w:multiLevelType w:val="hybridMultilevel"/>
    <w:tmpl w:val="DE9228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EF93B71"/>
    <w:multiLevelType w:val="hybridMultilevel"/>
    <w:tmpl w:val="510EEF88"/>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6"/>
  </w:num>
  <w:num w:numId="6">
    <w:abstractNumId w:val="8"/>
  </w:num>
  <w:num w:numId="7">
    <w:abstractNumId w:val="3"/>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C9"/>
    <w:rsid w:val="00013BFA"/>
    <w:rsid w:val="000A2B3D"/>
    <w:rsid w:val="000B4E5D"/>
    <w:rsid w:val="00124F8D"/>
    <w:rsid w:val="00130805"/>
    <w:rsid w:val="0014688A"/>
    <w:rsid w:val="00164073"/>
    <w:rsid w:val="001B07AB"/>
    <w:rsid w:val="0020323D"/>
    <w:rsid w:val="00324213"/>
    <w:rsid w:val="00366ACC"/>
    <w:rsid w:val="00393FC6"/>
    <w:rsid w:val="00530D58"/>
    <w:rsid w:val="005E2DD8"/>
    <w:rsid w:val="00615CF7"/>
    <w:rsid w:val="00630774"/>
    <w:rsid w:val="0063185B"/>
    <w:rsid w:val="0067433E"/>
    <w:rsid w:val="00804586"/>
    <w:rsid w:val="00915020"/>
    <w:rsid w:val="00921EA5"/>
    <w:rsid w:val="0098080A"/>
    <w:rsid w:val="009B1DD2"/>
    <w:rsid w:val="009B7ED3"/>
    <w:rsid w:val="009D3B0A"/>
    <w:rsid w:val="00A00067"/>
    <w:rsid w:val="00A41634"/>
    <w:rsid w:val="00A52E13"/>
    <w:rsid w:val="00A70244"/>
    <w:rsid w:val="00AB46BD"/>
    <w:rsid w:val="00AF7BC9"/>
    <w:rsid w:val="00B31C89"/>
    <w:rsid w:val="00B83A1E"/>
    <w:rsid w:val="00BB6358"/>
    <w:rsid w:val="00BC0BEA"/>
    <w:rsid w:val="00C101EC"/>
    <w:rsid w:val="00CD7E6A"/>
    <w:rsid w:val="00CF0E5F"/>
    <w:rsid w:val="00D11885"/>
    <w:rsid w:val="00D756C0"/>
    <w:rsid w:val="00DA2430"/>
    <w:rsid w:val="00E26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DB1B"/>
  <w15:docId w15:val="{7845AC01-59F6-4C30-888E-9322AD0E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213"/>
  </w:style>
  <w:style w:type="paragraph" w:styleId="Ttulo1">
    <w:name w:val="heading 1"/>
    <w:basedOn w:val="Normal"/>
    <w:next w:val="Normal"/>
    <w:link w:val="Ttulo1Car"/>
    <w:qFormat/>
    <w:rsid w:val="00324213"/>
    <w:pPr>
      <w:keepNext/>
      <w:widowControl w:val="0"/>
      <w:spacing w:after="0" w:line="240" w:lineRule="auto"/>
      <w:outlineLvl w:val="0"/>
    </w:pPr>
    <w:rPr>
      <w:rFonts w:ascii="Times New Roman" w:eastAsia="Times New Roman" w:hAnsi="Times New Roman" w:cs="Times New Roman"/>
      <w:b/>
      <w:sz w:val="24"/>
      <w:szCs w:val="20"/>
      <w:lang w:val="en-US" w:eastAsia="es-AR"/>
    </w:rPr>
  </w:style>
  <w:style w:type="paragraph" w:styleId="Ttulo5">
    <w:name w:val="heading 5"/>
    <w:basedOn w:val="Normal"/>
    <w:next w:val="Normal"/>
    <w:link w:val="Ttulo5Car"/>
    <w:qFormat/>
    <w:rsid w:val="00324213"/>
    <w:pPr>
      <w:keepNext/>
      <w:widowControl w:val="0"/>
      <w:spacing w:after="0" w:line="240" w:lineRule="auto"/>
      <w:outlineLvl w:val="4"/>
    </w:pPr>
    <w:rPr>
      <w:rFonts w:ascii="Times New Roman" w:eastAsia="Times New Roman"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4213"/>
    <w:rPr>
      <w:rFonts w:ascii="Times New Roman" w:eastAsia="Times New Roman" w:hAnsi="Times New Roman" w:cs="Times New Roman"/>
      <w:b/>
      <w:sz w:val="24"/>
      <w:szCs w:val="20"/>
      <w:lang w:val="en-US" w:eastAsia="es-AR"/>
    </w:rPr>
  </w:style>
  <w:style w:type="character" w:customStyle="1" w:styleId="Ttulo5Car">
    <w:name w:val="Título 5 Car"/>
    <w:basedOn w:val="Fuentedeprrafopredeter"/>
    <w:link w:val="Ttulo5"/>
    <w:rsid w:val="00324213"/>
    <w:rPr>
      <w:rFonts w:ascii="Times New Roman" w:eastAsia="Times New Roman" w:hAnsi="Times New Roman" w:cs="Times New Roman"/>
      <w:sz w:val="24"/>
      <w:szCs w:val="20"/>
      <w:lang w:val="es-AR" w:eastAsia="es-AR"/>
    </w:rPr>
  </w:style>
  <w:style w:type="paragraph" w:styleId="Textodeglobo">
    <w:name w:val="Balloon Text"/>
    <w:basedOn w:val="Normal"/>
    <w:link w:val="TextodegloboCar"/>
    <w:uiPriority w:val="99"/>
    <w:semiHidden/>
    <w:unhideWhenUsed/>
    <w:rsid w:val="009808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0A"/>
    <w:rPr>
      <w:rFonts w:ascii="Tahoma" w:hAnsi="Tahoma" w:cs="Tahoma"/>
      <w:sz w:val="16"/>
      <w:szCs w:val="16"/>
    </w:rPr>
  </w:style>
  <w:style w:type="paragraph" w:customStyle="1" w:styleId="tablaizquierda8">
    <w:name w:val="tablaizquierda8"/>
    <w:basedOn w:val="Normal"/>
    <w:rsid w:val="0098080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242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213"/>
  </w:style>
  <w:style w:type="paragraph" w:styleId="Piedepgina">
    <w:name w:val="footer"/>
    <w:basedOn w:val="Normal"/>
    <w:link w:val="PiedepginaCar"/>
    <w:uiPriority w:val="99"/>
    <w:semiHidden/>
    <w:unhideWhenUsed/>
    <w:rsid w:val="00324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24213"/>
  </w:style>
  <w:style w:type="paragraph" w:styleId="Textoindependiente">
    <w:name w:val="Body Text"/>
    <w:basedOn w:val="Normal"/>
    <w:link w:val="TextoindependienteCar"/>
    <w:rsid w:val="00324213"/>
    <w:pPr>
      <w:widowControl w:val="0"/>
      <w:tabs>
        <w:tab w:val="left" w:pos="454"/>
      </w:tabs>
      <w:spacing w:after="0" w:line="240" w:lineRule="auto"/>
      <w:ind w:right="91"/>
      <w:jc w:val="both"/>
    </w:pPr>
    <w:rPr>
      <w:rFonts w:ascii="Times New Roman" w:eastAsia="Times New Roman"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324213"/>
    <w:rPr>
      <w:rFonts w:ascii="Times New Roman" w:eastAsia="Times New Roman" w:hAnsi="Times New Roman" w:cs="Times New Roman"/>
      <w:sz w:val="24"/>
      <w:szCs w:val="20"/>
      <w:lang w:val="es-AR" w:eastAsia="es-AR"/>
    </w:rPr>
  </w:style>
  <w:style w:type="paragraph" w:customStyle="1" w:styleId="lineanueva">
    <w:name w:val="lineanueva"/>
    <w:basedOn w:val="Normal"/>
    <w:rsid w:val="00324213"/>
    <w:pPr>
      <w:pBdr>
        <w:bottom w:val="single" w:sz="6" w:space="10" w:color="000000"/>
      </w:pBdr>
      <w:spacing w:before="160" w:line="240" w:lineRule="auto"/>
      <w:jc w:val="both"/>
    </w:pPr>
    <w:rPr>
      <w:rFonts w:ascii="Verdana" w:eastAsia="Times New Roman" w:hAnsi="Verdana" w:cs="Times New Roman"/>
      <w:sz w:val="16"/>
      <w:szCs w:val="16"/>
      <w:lang w:eastAsia="es-ES"/>
    </w:rPr>
  </w:style>
  <w:style w:type="paragraph" w:customStyle="1" w:styleId="textocentradonegritanovedades">
    <w:name w:val="textocentradonegritanovedades"/>
    <w:basedOn w:val="Normal"/>
    <w:rsid w:val="003242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centradonovedades">
    <w:name w:val="textocentradonovedades"/>
    <w:basedOn w:val="Normal"/>
    <w:rsid w:val="003242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novedades">
    <w:name w:val="negritanovedades"/>
    <w:basedOn w:val="Fuentedeprrafopredeter"/>
    <w:rsid w:val="00324213"/>
  </w:style>
  <w:style w:type="paragraph" w:customStyle="1" w:styleId="sangrianovedades">
    <w:name w:val="sangrianovedades"/>
    <w:basedOn w:val="Normal"/>
    <w:rsid w:val="003242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324213"/>
  </w:style>
  <w:style w:type="character" w:customStyle="1" w:styleId="hipervnculo">
    <w:name w:val="hipervnculo"/>
    <w:basedOn w:val="Fuentedeprrafopredeter"/>
    <w:rsid w:val="00324213"/>
  </w:style>
  <w:style w:type="paragraph" w:styleId="NormalWeb">
    <w:name w:val="Normal (Web)"/>
    <w:basedOn w:val="Normal"/>
    <w:uiPriority w:val="99"/>
    <w:semiHidden/>
    <w:unhideWhenUsed/>
    <w:rsid w:val="003242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vedades1">
    <w:name w:val="textonovedades1"/>
    <w:basedOn w:val="Fuentedeprrafopredeter"/>
    <w:rsid w:val="00324213"/>
  </w:style>
  <w:style w:type="paragraph" w:styleId="Prrafodelista">
    <w:name w:val="List Paragraph"/>
    <w:basedOn w:val="Normal"/>
    <w:uiPriority w:val="34"/>
    <w:qFormat/>
    <w:rsid w:val="00674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45456970">
      <w:bodyDiv w:val="1"/>
      <w:marLeft w:val="0"/>
      <w:marRight w:val="0"/>
      <w:marTop w:val="0"/>
      <w:marBottom w:val="0"/>
      <w:divBdr>
        <w:top w:val="none" w:sz="0" w:space="0" w:color="auto"/>
        <w:left w:val="none" w:sz="0" w:space="0" w:color="auto"/>
        <w:bottom w:val="none" w:sz="0" w:space="0" w:color="auto"/>
        <w:right w:val="none" w:sz="0" w:space="0" w:color="auto"/>
      </w:divBdr>
    </w:div>
    <w:div w:id="545870530">
      <w:bodyDiv w:val="1"/>
      <w:marLeft w:val="0"/>
      <w:marRight w:val="0"/>
      <w:marTop w:val="0"/>
      <w:marBottom w:val="0"/>
      <w:divBdr>
        <w:top w:val="none" w:sz="0" w:space="0" w:color="auto"/>
        <w:left w:val="none" w:sz="0" w:space="0" w:color="auto"/>
        <w:bottom w:val="none" w:sz="0" w:space="0" w:color="auto"/>
        <w:right w:val="none" w:sz="0" w:space="0" w:color="auto"/>
      </w:divBdr>
    </w:div>
    <w:div w:id="605308843">
      <w:bodyDiv w:val="1"/>
      <w:marLeft w:val="0"/>
      <w:marRight w:val="0"/>
      <w:marTop w:val="0"/>
      <w:marBottom w:val="0"/>
      <w:divBdr>
        <w:top w:val="none" w:sz="0" w:space="0" w:color="auto"/>
        <w:left w:val="none" w:sz="0" w:space="0" w:color="auto"/>
        <w:bottom w:val="none" w:sz="0" w:space="0" w:color="auto"/>
        <w:right w:val="none" w:sz="0" w:space="0" w:color="auto"/>
      </w:divBdr>
    </w:div>
    <w:div w:id="685980658">
      <w:bodyDiv w:val="1"/>
      <w:marLeft w:val="0"/>
      <w:marRight w:val="0"/>
      <w:marTop w:val="0"/>
      <w:marBottom w:val="0"/>
      <w:divBdr>
        <w:top w:val="none" w:sz="0" w:space="0" w:color="auto"/>
        <w:left w:val="none" w:sz="0" w:space="0" w:color="auto"/>
        <w:bottom w:val="none" w:sz="0" w:space="0" w:color="auto"/>
        <w:right w:val="none" w:sz="0" w:space="0" w:color="auto"/>
      </w:divBdr>
    </w:div>
    <w:div w:id="1192652042">
      <w:bodyDiv w:val="1"/>
      <w:marLeft w:val="0"/>
      <w:marRight w:val="0"/>
      <w:marTop w:val="0"/>
      <w:marBottom w:val="0"/>
      <w:divBdr>
        <w:top w:val="none" w:sz="0" w:space="0" w:color="auto"/>
        <w:left w:val="none" w:sz="0" w:space="0" w:color="auto"/>
        <w:bottom w:val="none" w:sz="0" w:space="0" w:color="auto"/>
        <w:right w:val="none" w:sz="0" w:space="0" w:color="auto"/>
      </w:divBdr>
    </w:div>
    <w:div w:id="1210804901">
      <w:bodyDiv w:val="1"/>
      <w:marLeft w:val="0"/>
      <w:marRight w:val="0"/>
      <w:marTop w:val="0"/>
      <w:marBottom w:val="0"/>
      <w:divBdr>
        <w:top w:val="none" w:sz="0" w:space="0" w:color="auto"/>
        <w:left w:val="none" w:sz="0" w:space="0" w:color="auto"/>
        <w:bottom w:val="none" w:sz="0" w:space="0" w:color="auto"/>
        <w:right w:val="none" w:sz="0" w:space="0" w:color="auto"/>
      </w:divBdr>
    </w:div>
    <w:div w:id="1610311569">
      <w:bodyDiv w:val="1"/>
      <w:marLeft w:val="0"/>
      <w:marRight w:val="0"/>
      <w:marTop w:val="0"/>
      <w:marBottom w:val="0"/>
      <w:divBdr>
        <w:top w:val="none" w:sz="0" w:space="0" w:color="auto"/>
        <w:left w:val="none" w:sz="0" w:space="0" w:color="auto"/>
        <w:bottom w:val="none" w:sz="0" w:space="0" w:color="auto"/>
        <w:right w:val="none" w:sz="0" w:space="0" w:color="auto"/>
      </w:divBdr>
    </w:div>
    <w:div w:id="1707485634">
      <w:bodyDiv w:val="1"/>
      <w:marLeft w:val="0"/>
      <w:marRight w:val="0"/>
      <w:marTop w:val="0"/>
      <w:marBottom w:val="0"/>
      <w:divBdr>
        <w:top w:val="none" w:sz="0" w:space="0" w:color="auto"/>
        <w:left w:val="none" w:sz="0" w:space="0" w:color="auto"/>
        <w:bottom w:val="none" w:sz="0" w:space="0" w:color="auto"/>
        <w:right w:val="none" w:sz="0" w:space="0" w:color="auto"/>
      </w:divBdr>
    </w:div>
    <w:div w:id="1838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D1BD2-B39E-4F3A-A5A9-19C196E5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bzabaleta</dc:creator>
  <cp:lastModifiedBy>Paola Fontao</cp:lastModifiedBy>
  <cp:revision>13</cp:revision>
  <dcterms:created xsi:type="dcterms:W3CDTF">2024-01-18T20:06:00Z</dcterms:created>
  <dcterms:modified xsi:type="dcterms:W3CDTF">2024-02-28T15:56:00Z</dcterms:modified>
</cp:coreProperties>
</file>