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C94" w:rsidRDefault="00F44C94" w:rsidP="00935385">
      <w:pPr>
        <w:pStyle w:val="Ttulo1"/>
        <w:jc w:val="both"/>
        <w:rPr>
          <w:szCs w:val="24"/>
          <w:u w:val="single"/>
          <w:lang w:val="es-AR"/>
        </w:rPr>
      </w:pPr>
      <w:r w:rsidRPr="007C11C9">
        <w:rPr>
          <w:szCs w:val="24"/>
          <w:u w:val="single"/>
          <w:lang w:val="es-AR"/>
        </w:rPr>
        <w:t>CIRCULAR IMPOS</w:t>
      </w:r>
      <w:bookmarkStart w:id="0" w:name="_GoBack"/>
      <w:bookmarkEnd w:id="0"/>
      <w:r w:rsidRPr="007C11C9">
        <w:rPr>
          <w:szCs w:val="24"/>
          <w:u w:val="single"/>
          <w:lang w:val="es-AR"/>
        </w:rPr>
        <w:t xml:space="preserve">ITIVA </w:t>
      </w:r>
      <w:r w:rsidRPr="00DA3438">
        <w:rPr>
          <w:szCs w:val="24"/>
          <w:u w:val="single"/>
          <w:lang w:val="es-AR"/>
        </w:rPr>
        <w:t xml:space="preserve">NRO. </w:t>
      </w:r>
      <w:r w:rsidR="002F0E3F">
        <w:rPr>
          <w:szCs w:val="24"/>
          <w:u w:val="single"/>
          <w:lang w:val="es-AR"/>
        </w:rPr>
        <w:t>1218</w:t>
      </w:r>
    </w:p>
    <w:p w:rsidR="00935385" w:rsidRPr="00935385" w:rsidRDefault="00935385" w:rsidP="00935385">
      <w:pPr>
        <w:rPr>
          <w:lang w:eastAsia="es-AR"/>
        </w:rPr>
      </w:pPr>
    </w:p>
    <w:p w:rsidR="00F44C94" w:rsidRPr="00C15CDE"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Ley (</w:t>
      </w:r>
      <w:r>
        <w:rPr>
          <w:rFonts w:ascii="Times New Roman" w:eastAsia="Times New Roman" w:hAnsi="Times New Roman"/>
          <w:b/>
          <w:i/>
          <w:sz w:val="24"/>
          <w:szCs w:val="24"/>
          <w:lang w:eastAsia="es-AR"/>
        </w:rPr>
        <w:t>Santa Fe</w:t>
      </w:r>
      <w:r w:rsidRPr="00C15CDE">
        <w:rPr>
          <w:rFonts w:ascii="Times New Roman" w:eastAsia="Times New Roman" w:hAnsi="Times New Roman"/>
          <w:b/>
          <w:i/>
          <w:sz w:val="24"/>
          <w:szCs w:val="24"/>
          <w:lang w:eastAsia="es-AR"/>
        </w:rPr>
        <w:t xml:space="preserve">) </w:t>
      </w:r>
      <w:r w:rsidR="004B6C90">
        <w:rPr>
          <w:rFonts w:ascii="Times New Roman" w:eastAsia="Times New Roman" w:hAnsi="Times New Roman"/>
          <w:b/>
          <w:i/>
          <w:sz w:val="24"/>
          <w:szCs w:val="24"/>
          <w:lang w:eastAsia="es-AR"/>
        </w:rPr>
        <w:t>14.244</w:t>
      </w:r>
    </w:p>
    <w:p w:rsidR="00F44C94" w:rsidRPr="00C15CDE"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de Norma: </w:t>
      </w:r>
      <w:r w:rsidR="004B6C90">
        <w:rPr>
          <w:rFonts w:ascii="Times New Roman" w:eastAsia="Times New Roman" w:hAnsi="Times New Roman"/>
          <w:b/>
          <w:i/>
          <w:sz w:val="24"/>
          <w:szCs w:val="24"/>
          <w:lang w:eastAsia="es-AR"/>
        </w:rPr>
        <w:t>28/12</w:t>
      </w:r>
      <w:r w:rsidR="00AE62D6">
        <w:rPr>
          <w:rFonts w:ascii="Times New Roman" w:eastAsia="Times New Roman" w:hAnsi="Times New Roman"/>
          <w:b/>
          <w:i/>
          <w:sz w:val="24"/>
          <w:szCs w:val="24"/>
          <w:lang w:eastAsia="es-AR"/>
        </w:rPr>
        <w:t>/20</w:t>
      </w:r>
      <w:r w:rsidR="004B6C90">
        <w:rPr>
          <w:rFonts w:ascii="Times New Roman" w:eastAsia="Times New Roman" w:hAnsi="Times New Roman"/>
          <w:b/>
          <w:i/>
          <w:sz w:val="24"/>
          <w:szCs w:val="24"/>
          <w:lang w:eastAsia="es-AR"/>
        </w:rPr>
        <w:t>23</w:t>
      </w:r>
    </w:p>
    <w:p w:rsidR="00F44C94"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Boletín Oficial: </w:t>
      </w:r>
      <w:r w:rsidR="004B6C90">
        <w:rPr>
          <w:rFonts w:ascii="Times New Roman" w:eastAsia="Times New Roman" w:hAnsi="Times New Roman"/>
          <w:b/>
          <w:i/>
          <w:sz w:val="24"/>
          <w:szCs w:val="24"/>
          <w:lang w:eastAsia="es-AR"/>
        </w:rPr>
        <w:t>08/01/2024</w:t>
      </w:r>
    </w:p>
    <w:p w:rsidR="00F44C94" w:rsidRDefault="00F44C94" w:rsidP="00F44C94">
      <w:pPr>
        <w:widowControl w:val="0"/>
        <w:spacing w:after="0" w:line="240" w:lineRule="auto"/>
        <w:rPr>
          <w:rFonts w:ascii="Times New Roman" w:eastAsia="Times New Roman" w:hAnsi="Times New Roman"/>
          <w:b/>
          <w:i/>
          <w:sz w:val="24"/>
          <w:szCs w:val="24"/>
          <w:lang w:eastAsia="es-AR"/>
        </w:rPr>
      </w:pPr>
    </w:p>
    <w:p w:rsidR="00F44C94" w:rsidRDefault="00F44C94" w:rsidP="00F44C94">
      <w:pPr>
        <w:widowControl w:val="0"/>
        <w:spacing w:after="0" w:line="240" w:lineRule="auto"/>
        <w:rPr>
          <w:szCs w:val="24"/>
        </w:rPr>
      </w:pPr>
    </w:p>
    <w:p w:rsidR="00DA3438" w:rsidRPr="00C15CDE" w:rsidRDefault="00DA3438" w:rsidP="00F44C94">
      <w:pPr>
        <w:widowControl w:val="0"/>
        <w:spacing w:after="0" w:line="240" w:lineRule="auto"/>
        <w:rPr>
          <w:szCs w:val="24"/>
        </w:rPr>
      </w:pPr>
    </w:p>
    <w:p w:rsidR="00F44C94" w:rsidRPr="000B0558" w:rsidRDefault="00F44C94" w:rsidP="00F44C94">
      <w:pPr>
        <w:widowControl w:val="0"/>
        <w:spacing w:after="0" w:line="240" w:lineRule="auto"/>
        <w:jc w:val="both"/>
        <w:rPr>
          <w:rFonts w:ascii="Times New Roman" w:eastAsia="Times New Roman" w:hAnsi="Times New Roman"/>
          <w:b/>
          <w:sz w:val="24"/>
          <w:szCs w:val="24"/>
          <w:u w:val="single"/>
          <w:lang w:eastAsia="es-AR"/>
        </w:rPr>
      </w:pPr>
      <w:r w:rsidRPr="000B0558">
        <w:rPr>
          <w:rFonts w:ascii="Times New Roman" w:eastAsia="Times New Roman" w:hAnsi="Times New Roman"/>
          <w:b/>
          <w:sz w:val="24"/>
          <w:szCs w:val="24"/>
          <w:u w:val="single"/>
          <w:lang w:eastAsia="es-AR"/>
        </w:rPr>
        <w:t xml:space="preserve">Santa Fe. </w:t>
      </w:r>
      <w:r>
        <w:rPr>
          <w:rFonts w:ascii="Times New Roman" w:eastAsia="Times New Roman" w:hAnsi="Times New Roman"/>
          <w:b/>
          <w:sz w:val="24"/>
          <w:szCs w:val="24"/>
          <w:u w:val="single"/>
          <w:lang w:eastAsia="es-AR"/>
        </w:rPr>
        <w:t>Ley Impositiva 202</w:t>
      </w:r>
      <w:r w:rsidR="004B6C90">
        <w:rPr>
          <w:rFonts w:ascii="Times New Roman" w:eastAsia="Times New Roman" w:hAnsi="Times New Roman"/>
          <w:b/>
          <w:sz w:val="24"/>
          <w:szCs w:val="24"/>
          <w:u w:val="single"/>
          <w:lang w:eastAsia="es-AR"/>
        </w:rPr>
        <w:t>4</w:t>
      </w:r>
      <w:r w:rsidR="00DA3438">
        <w:rPr>
          <w:rFonts w:ascii="Times New Roman" w:eastAsia="Times New Roman" w:hAnsi="Times New Roman"/>
          <w:b/>
          <w:sz w:val="24"/>
          <w:szCs w:val="24"/>
          <w:u w:val="single"/>
          <w:lang w:eastAsia="es-AR"/>
        </w:rPr>
        <w:t>.</w:t>
      </w:r>
    </w:p>
    <w:p w:rsidR="00777237" w:rsidRDefault="00777237"/>
    <w:p w:rsidR="000C0A0A" w:rsidRDefault="000C0A0A" w:rsidP="008902AA">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A través de la Ley </w:t>
      </w:r>
      <w:r w:rsidR="004B6C90">
        <w:rPr>
          <w:rFonts w:ascii="Times New Roman" w:eastAsia="Times New Roman" w:hAnsi="Times New Roman"/>
          <w:sz w:val="24"/>
          <w:szCs w:val="24"/>
          <w:lang w:eastAsia="es-AR"/>
        </w:rPr>
        <w:t>14.244</w:t>
      </w:r>
      <w:r w:rsidRPr="00CD79AE">
        <w:rPr>
          <w:rFonts w:ascii="Times New Roman" w:eastAsia="Times New Roman" w:hAnsi="Times New Roman"/>
          <w:sz w:val="24"/>
          <w:szCs w:val="24"/>
          <w:lang w:eastAsia="es-AR"/>
        </w:rPr>
        <w:t xml:space="preserve"> se </w:t>
      </w:r>
      <w:r w:rsidR="00807E28">
        <w:rPr>
          <w:rFonts w:ascii="Times New Roman" w:eastAsia="Times New Roman" w:hAnsi="Times New Roman"/>
          <w:sz w:val="24"/>
          <w:szCs w:val="24"/>
          <w:lang w:eastAsia="es-AR"/>
        </w:rPr>
        <w:t>introducen modificaciones a la Ley I</w:t>
      </w:r>
      <w:r w:rsidRPr="00CD79AE">
        <w:rPr>
          <w:rFonts w:ascii="Times New Roman" w:eastAsia="Times New Roman" w:hAnsi="Times New Roman"/>
          <w:sz w:val="24"/>
          <w:szCs w:val="24"/>
          <w:lang w:eastAsia="es-AR"/>
        </w:rPr>
        <w:t xml:space="preserve">mpositiva aplicable al </w:t>
      </w:r>
      <w:r>
        <w:rPr>
          <w:rFonts w:ascii="Times New Roman" w:eastAsia="Times New Roman" w:hAnsi="Times New Roman"/>
          <w:sz w:val="24"/>
          <w:szCs w:val="24"/>
          <w:lang w:eastAsia="es-AR"/>
        </w:rPr>
        <w:t>período 202</w:t>
      </w:r>
      <w:r w:rsidR="004B6C90">
        <w:rPr>
          <w:rFonts w:ascii="Times New Roman" w:eastAsia="Times New Roman" w:hAnsi="Times New Roman"/>
          <w:sz w:val="24"/>
          <w:szCs w:val="24"/>
          <w:lang w:eastAsia="es-AR"/>
        </w:rPr>
        <w:t>4</w:t>
      </w:r>
      <w:r w:rsidRPr="00CD79AE">
        <w:rPr>
          <w:rFonts w:ascii="Times New Roman" w:eastAsia="Times New Roman" w:hAnsi="Times New Roman"/>
          <w:sz w:val="24"/>
          <w:szCs w:val="24"/>
          <w:lang w:eastAsia="es-AR"/>
        </w:rPr>
        <w:t xml:space="preserve"> sobre el Impuesto a los Ingresos Brutos.</w:t>
      </w:r>
    </w:p>
    <w:p w:rsidR="000C0A0A" w:rsidRDefault="000C0A0A" w:rsidP="008902AA">
      <w:pPr>
        <w:jc w:val="both"/>
        <w:rPr>
          <w:rFonts w:ascii="Times New Roman" w:eastAsia="Times New Roman" w:hAnsi="Times New Roman"/>
          <w:sz w:val="24"/>
          <w:szCs w:val="24"/>
          <w:lang w:eastAsia="es-AR"/>
        </w:rPr>
      </w:pPr>
    </w:p>
    <w:p w:rsidR="00F44C94" w:rsidRDefault="00F44C94" w:rsidP="00F44C94">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En el </w:t>
      </w:r>
      <w:r w:rsidRPr="005B2EB0">
        <w:rPr>
          <w:rFonts w:ascii="Times New Roman" w:eastAsia="Times New Roman" w:hAnsi="Times New Roman"/>
          <w:b/>
          <w:sz w:val="24"/>
          <w:szCs w:val="24"/>
          <w:lang w:eastAsia="es-AR"/>
        </w:rPr>
        <w:t>Anexo I</w:t>
      </w:r>
      <w:r w:rsidRPr="00CD79AE">
        <w:rPr>
          <w:rFonts w:ascii="Times New Roman" w:eastAsia="Times New Roman" w:hAnsi="Times New Roman"/>
          <w:sz w:val="24"/>
          <w:szCs w:val="24"/>
          <w:lang w:eastAsia="es-AR"/>
        </w:rPr>
        <w:t xml:space="preserve"> de esta circular se detallan las alícuotas aplicables para cada actividad para el Impuestos sobre los Ingresos Brutos a partir del 01/0</w:t>
      </w:r>
      <w:r>
        <w:rPr>
          <w:rFonts w:ascii="Times New Roman" w:eastAsia="Times New Roman" w:hAnsi="Times New Roman"/>
          <w:sz w:val="24"/>
          <w:szCs w:val="24"/>
          <w:lang w:eastAsia="es-AR"/>
        </w:rPr>
        <w:t>1/</w:t>
      </w:r>
      <w:r w:rsidR="008902AA">
        <w:rPr>
          <w:rFonts w:ascii="Times New Roman" w:eastAsia="Times New Roman" w:hAnsi="Times New Roman"/>
          <w:sz w:val="24"/>
          <w:szCs w:val="24"/>
          <w:lang w:eastAsia="es-AR"/>
        </w:rPr>
        <w:t>20</w:t>
      </w:r>
      <w:r w:rsidR="004B6C90">
        <w:rPr>
          <w:rFonts w:ascii="Times New Roman" w:eastAsia="Times New Roman" w:hAnsi="Times New Roman"/>
          <w:sz w:val="24"/>
          <w:szCs w:val="24"/>
          <w:lang w:eastAsia="es-AR"/>
        </w:rPr>
        <w:t>24</w:t>
      </w:r>
      <w:r w:rsidRPr="00CD79AE">
        <w:rPr>
          <w:rFonts w:ascii="Times New Roman" w:eastAsia="Times New Roman" w:hAnsi="Times New Roman"/>
          <w:sz w:val="24"/>
          <w:szCs w:val="24"/>
          <w:lang w:eastAsia="es-AR"/>
        </w:rPr>
        <w:t>.</w:t>
      </w:r>
    </w:p>
    <w:p w:rsidR="008B3472" w:rsidRDefault="008B3472" w:rsidP="008B3472">
      <w:pPr>
        <w:jc w:val="both"/>
        <w:rPr>
          <w:rFonts w:ascii="Times New Roman" w:eastAsia="Times New Roman" w:hAnsi="Times New Roman"/>
          <w:sz w:val="24"/>
          <w:szCs w:val="24"/>
          <w:lang w:eastAsia="es-AR"/>
        </w:rPr>
      </w:pPr>
    </w:p>
    <w:p w:rsidR="000C0A0A" w:rsidRDefault="000C0A0A" w:rsidP="008B3472">
      <w:pPr>
        <w:jc w:val="both"/>
        <w:rPr>
          <w:rFonts w:ascii="Times New Roman" w:eastAsia="Times New Roman" w:hAnsi="Times New Roman"/>
          <w:sz w:val="24"/>
          <w:szCs w:val="24"/>
          <w:lang w:eastAsia="es-AR"/>
        </w:rPr>
      </w:pPr>
    </w:p>
    <w:p w:rsidR="008B3472" w:rsidRPr="00CD79AE" w:rsidRDefault="008B3472" w:rsidP="008B3472">
      <w:pPr>
        <w:widowControl w:val="0"/>
        <w:numPr>
          <w:ilvl w:val="0"/>
          <w:numId w:val="1"/>
        </w:numPr>
        <w:spacing w:after="0" w:line="240" w:lineRule="auto"/>
        <w:ind w:right="50"/>
        <w:jc w:val="both"/>
        <w:rPr>
          <w:rFonts w:ascii="Times New Roman" w:hAnsi="Times New Roman"/>
          <w:b/>
          <w:sz w:val="24"/>
          <w:szCs w:val="24"/>
          <w:u w:val="single"/>
        </w:rPr>
      </w:pPr>
      <w:r w:rsidRPr="00CD79AE">
        <w:rPr>
          <w:rFonts w:ascii="Times New Roman" w:hAnsi="Times New Roman"/>
          <w:b/>
          <w:sz w:val="24"/>
          <w:szCs w:val="24"/>
          <w:u w:val="single"/>
        </w:rPr>
        <w:t>Vigencia</w:t>
      </w:r>
    </w:p>
    <w:p w:rsidR="008B3472" w:rsidRDefault="008B3472" w:rsidP="008B3472">
      <w:pPr>
        <w:jc w:val="both"/>
        <w:rPr>
          <w:rFonts w:ascii="Times New Roman" w:hAnsi="Times New Roman"/>
          <w:sz w:val="24"/>
          <w:szCs w:val="24"/>
        </w:rPr>
      </w:pPr>
    </w:p>
    <w:p w:rsidR="008B3472" w:rsidRPr="00CD79AE" w:rsidRDefault="008B3472" w:rsidP="008B3472">
      <w:pPr>
        <w:jc w:val="both"/>
        <w:rPr>
          <w:rFonts w:ascii="Times New Roman" w:hAnsi="Times New Roman"/>
          <w:b/>
          <w:i/>
          <w:sz w:val="24"/>
          <w:szCs w:val="24"/>
        </w:rPr>
      </w:pPr>
      <w:r w:rsidRPr="00CD79AE">
        <w:rPr>
          <w:rFonts w:ascii="Times New Roman" w:hAnsi="Times New Roman"/>
          <w:sz w:val="24"/>
          <w:szCs w:val="24"/>
        </w:rPr>
        <w:t xml:space="preserve">Las disposiciones de la presente ley tienen aplicación </w:t>
      </w:r>
      <w:r w:rsidRPr="00CD79AE">
        <w:rPr>
          <w:rFonts w:ascii="Times New Roman" w:hAnsi="Times New Roman"/>
          <w:b/>
          <w:i/>
          <w:sz w:val="24"/>
          <w:szCs w:val="24"/>
        </w:rPr>
        <w:t xml:space="preserve">a partir del </w:t>
      </w:r>
      <w:r w:rsidR="00DA3438">
        <w:rPr>
          <w:rFonts w:ascii="Times New Roman" w:hAnsi="Times New Roman"/>
          <w:b/>
          <w:i/>
          <w:sz w:val="24"/>
          <w:szCs w:val="24"/>
        </w:rPr>
        <w:t>01</w:t>
      </w:r>
      <w:r>
        <w:rPr>
          <w:rFonts w:ascii="Times New Roman" w:hAnsi="Times New Roman"/>
          <w:b/>
          <w:i/>
          <w:sz w:val="24"/>
          <w:szCs w:val="24"/>
        </w:rPr>
        <w:t xml:space="preserve"> de </w:t>
      </w:r>
      <w:proofErr w:type="gramStart"/>
      <w:r w:rsidR="00B85B0E">
        <w:rPr>
          <w:rFonts w:ascii="Times New Roman" w:hAnsi="Times New Roman"/>
          <w:b/>
          <w:i/>
          <w:sz w:val="24"/>
          <w:szCs w:val="24"/>
        </w:rPr>
        <w:t>Enero</w:t>
      </w:r>
      <w:proofErr w:type="gramEnd"/>
      <w:r w:rsidR="00B85B0E">
        <w:rPr>
          <w:rFonts w:ascii="Times New Roman" w:hAnsi="Times New Roman"/>
          <w:b/>
          <w:i/>
          <w:sz w:val="24"/>
          <w:szCs w:val="24"/>
        </w:rPr>
        <w:t xml:space="preserve"> de 202</w:t>
      </w:r>
      <w:r w:rsidR="004B6C90">
        <w:rPr>
          <w:rFonts w:ascii="Times New Roman" w:hAnsi="Times New Roman"/>
          <w:b/>
          <w:i/>
          <w:sz w:val="24"/>
          <w:szCs w:val="24"/>
        </w:rPr>
        <w:t>4</w:t>
      </w:r>
      <w:r w:rsidR="00B85B0E">
        <w:rPr>
          <w:rFonts w:ascii="Times New Roman" w:hAnsi="Times New Roman"/>
          <w:b/>
          <w:i/>
          <w:sz w:val="24"/>
          <w:szCs w:val="24"/>
        </w:rPr>
        <w:t>,</w:t>
      </w:r>
      <w:r w:rsidRPr="00CD79AE">
        <w:rPr>
          <w:rFonts w:ascii="Times New Roman" w:hAnsi="Times New Roman"/>
          <w:b/>
          <w:i/>
          <w:sz w:val="24"/>
          <w:szCs w:val="24"/>
        </w:rPr>
        <w:t xml:space="preserve"> inclusive.</w:t>
      </w:r>
    </w:p>
    <w:p w:rsidR="008B3472" w:rsidRDefault="008B3472" w:rsidP="008B3472">
      <w:pPr>
        <w:jc w:val="both"/>
        <w:rPr>
          <w:rFonts w:ascii="Times New Roman" w:hAnsi="Times New Roman"/>
          <w:sz w:val="24"/>
          <w:szCs w:val="24"/>
        </w:rPr>
      </w:pPr>
    </w:p>
    <w:p w:rsidR="00B072E6" w:rsidRPr="00CD79AE" w:rsidRDefault="00B072E6" w:rsidP="008B3472">
      <w:pPr>
        <w:jc w:val="both"/>
        <w:rPr>
          <w:rFonts w:ascii="Times New Roman" w:hAnsi="Times New Roman"/>
          <w:sz w:val="24"/>
          <w:szCs w:val="24"/>
        </w:rPr>
      </w:pPr>
    </w:p>
    <w:p w:rsidR="008B3472" w:rsidRDefault="00403BD2" w:rsidP="008B3472">
      <w:pPr>
        <w:jc w:val="both"/>
        <w:rPr>
          <w:rFonts w:ascii="Times New Roman" w:hAnsi="Times New Roman"/>
          <w:sz w:val="24"/>
          <w:szCs w:val="24"/>
        </w:rPr>
      </w:pPr>
      <w:r>
        <w:rPr>
          <w:rFonts w:ascii="Times New Roman" w:hAnsi="Times New Roman"/>
          <w:sz w:val="24"/>
          <w:szCs w:val="24"/>
        </w:rPr>
        <w:t>Buenos Aires, 29</w:t>
      </w:r>
      <w:r w:rsidR="006D02D3">
        <w:rPr>
          <w:rFonts w:ascii="Times New Roman" w:hAnsi="Times New Roman"/>
          <w:sz w:val="24"/>
          <w:szCs w:val="24"/>
        </w:rPr>
        <w:t xml:space="preserve"> de </w:t>
      </w:r>
      <w:proofErr w:type="gramStart"/>
      <w:r w:rsidR="006D02D3">
        <w:rPr>
          <w:rFonts w:ascii="Times New Roman" w:hAnsi="Times New Roman"/>
          <w:sz w:val="24"/>
          <w:szCs w:val="24"/>
        </w:rPr>
        <w:t>Enero</w:t>
      </w:r>
      <w:proofErr w:type="gramEnd"/>
      <w:r w:rsidR="00B85B0E">
        <w:rPr>
          <w:rFonts w:ascii="Times New Roman" w:hAnsi="Times New Roman"/>
          <w:sz w:val="24"/>
          <w:szCs w:val="24"/>
        </w:rPr>
        <w:t xml:space="preserve"> de 202</w:t>
      </w:r>
      <w:r w:rsidR="004B6C90">
        <w:rPr>
          <w:rFonts w:ascii="Times New Roman" w:hAnsi="Times New Roman"/>
          <w:sz w:val="24"/>
          <w:szCs w:val="24"/>
        </w:rPr>
        <w:t>4</w:t>
      </w:r>
      <w:r w:rsidR="00B85B0E">
        <w:rPr>
          <w:rFonts w:ascii="Times New Roman" w:hAnsi="Times New Roman"/>
          <w:sz w:val="24"/>
          <w:szCs w:val="24"/>
        </w:rPr>
        <w:t>.</w:t>
      </w: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DF6084" w:rsidRDefault="00DF6084" w:rsidP="00B85B0E">
      <w:pPr>
        <w:jc w:val="center"/>
        <w:rPr>
          <w:rFonts w:ascii="Times New Roman" w:hAnsi="Times New Roman"/>
          <w:b/>
          <w:sz w:val="24"/>
          <w:szCs w:val="24"/>
          <w:u w:val="single"/>
        </w:rPr>
      </w:pPr>
    </w:p>
    <w:p w:rsidR="00DF6084" w:rsidRDefault="00DF6084" w:rsidP="00B85B0E">
      <w:pPr>
        <w:jc w:val="center"/>
        <w:rPr>
          <w:rFonts w:ascii="Times New Roman" w:hAnsi="Times New Roman"/>
          <w:b/>
          <w:sz w:val="24"/>
          <w:szCs w:val="24"/>
          <w:u w:val="single"/>
        </w:rPr>
      </w:pPr>
    </w:p>
    <w:p w:rsidR="00DF6084" w:rsidRDefault="00DF6084" w:rsidP="00B85B0E">
      <w:pPr>
        <w:jc w:val="center"/>
        <w:rPr>
          <w:rFonts w:ascii="Times New Roman" w:hAnsi="Times New Roman"/>
          <w:b/>
          <w:sz w:val="24"/>
          <w:szCs w:val="24"/>
          <w:u w:val="single"/>
        </w:rPr>
      </w:pPr>
    </w:p>
    <w:p w:rsidR="00B85B0E" w:rsidRPr="00403BD2" w:rsidRDefault="00B85B0E" w:rsidP="00B85B0E">
      <w:pPr>
        <w:jc w:val="center"/>
        <w:rPr>
          <w:rFonts w:ascii="Times New Roman" w:hAnsi="Times New Roman"/>
          <w:b/>
          <w:sz w:val="24"/>
          <w:szCs w:val="24"/>
          <w:u w:val="single"/>
        </w:rPr>
      </w:pPr>
      <w:r w:rsidRPr="00403BD2">
        <w:rPr>
          <w:rFonts w:ascii="Times New Roman" w:hAnsi="Times New Roman"/>
          <w:b/>
          <w:sz w:val="24"/>
          <w:szCs w:val="24"/>
          <w:u w:val="single"/>
        </w:rPr>
        <w:lastRenderedPageBreak/>
        <w:t>ANEXO I – Provincia de Santa Fe</w:t>
      </w:r>
    </w:p>
    <w:p w:rsidR="00B85B0E" w:rsidRPr="00403BD2" w:rsidRDefault="00B85B0E" w:rsidP="00B85B0E">
      <w:pPr>
        <w:spacing w:before="240" w:after="100"/>
        <w:ind w:left="105" w:right="105"/>
        <w:jc w:val="center"/>
        <w:rPr>
          <w:rFonts w:ascii="Times New Roman" w:hAnsi="Times New Roman"/>
          <w:b/>
          <w:bCs/>
          <w:color w:val="000000"/>
          <w:sz w:val="24"/>
          <w:szCs w:val="24"/>
          <w:lang w:val="es-ES" w:eastAsia="es-ES"/>
        </w:rPr>
      </w:pPr>
      <w:r w:rsidRPr="00403BD2">
        <w:rPr>
          <w:rFonts w:ascii="Times New Roman" w:hAnsi="Times New Roman"/>
          <w:b/>
          <w:bCs/>
          <w:color w:val="000000"/>
          <w:sz w:val="24"/>
          <w:szCs w:val="24"/>
          <w:lang w:val="es-ES" w:eastAsia="es-ES"/>
        </w:rPr>
        <w:t>Codificación de actividades. Alícuotas aplicables por actividad</w:t>
      </w:r>
    </w:p>
    <w:p w:rsidR="00555B59" w:rsidRPr="00403BD2" w:rsidRDefault="00555B59" w:rsidP="00B85B0E">
      <w:pPr>
        <w:pStyle w:val="textocentradonegritanovedades0"/>
        <w:spacing w:before="0" w:beforeAutospacing="0" w:afterAutospacing="0"/>
        <w:ind w:left="105" w:right="105"/>
        <w:jc w:val="center"/>
        <w:rPr>
          <w:b/>
          <w:bCs/>
          <w:color w:val="000000"/>
        </w:rPr>
      </w:pPr>
    </w:p>
    <w:p w:rsidR="00B85B0E" w:rsidRPr="002F0E3F" w:rsidRDefault="00B85B0E" w:rsidP="002F0E3F">
      <w:pPr>
        <w:pStyle w:val="sangrianovedades"/>
        <w:spacing w:before="0" w:after="0"/>
        <w:ind w:firstLine="2694"/>
        <w:jc w:val="both"/>
        <w:rPr>
          <w:rFonts w:ascii="Verdana" w:hAnsi="Verdana"/>
          <w:b/>
          <w:bCs/>
          <w:color w:val="000000"/>
          <w:sz w:val="20"/>
          <w:szCs w:val="20"/>
          <w:lang w:val="es-MX"/>
        </w:rPr>
      </w:pPr>
      <w:r w:rsidRPr="002F0E3F">
        <w:rPr>
          <w:rFonts w:ascii="Verdana" w:hAnsi="Verdana"/>
          <w:b/>
          <w:bCs/>
          <w:color w:val="000000"/>
          <w:sz w:val="20"/>
          <w:szCs w:val="20"/>
          <w:lang w:val="es-MX"/>
        </w:rPr>
        <w:t>Ley PYMES santafesina - Estabilidad fiscal</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Por medio de la </w:t>
      </w:r>
      <w:hyperlink r:id="rId7" w:tgtFrame="_blank" w:history="1">
        <w:r w:rsidRPr="00403BD2">
          <w:rPr>
            <w:rStyle w:val="Hipervnculo"/>
            <w:rFonts w:ascii="Verdana" w:hAnsi="Verdana"/>
            <w:sz w:val="16"/>
            <w:szCs w:val="16"/>
            <w:lang w:val="es-MX"/>
          </w:rPr>
          <w:t>ley (Santa Fe) 13749</w:t>
        </w:r>
      </w:hyperlink>
      <w:r w:rsidRPr="00403BD2">
        <w:rPr>
          <w:rFonts w:ascii="Verdana" w:hAnsi="Verdana"/>
          <w:color w:val="000000"/>
          <w:sz w:val="16"/>
          <w:szCs w:val="16"/>
          <w:lang w:val="es-MX"/>
        </w:rPr>
        <w:t>, la Provincia adhiere al régimen de estabilidad fiscal para las micro, pequeñas y medianas empresas -</w:t>
      </w:r>
      <w:hyperlink r:id="rId8" w:tgtFrame="_blank" w:history="1">
        <w:r w:rsidRPr="00403BD2">
          <w:rPr>
            <w:rStyle w:val="Hipervnculo"/>
            <w:rFonts w:ascii="Verdana" w:hAnsi="Verdana"/>
            <w:sz w:val="16"/>
            <w:szCs w:val="16"/>
            <w:lang w:val="es-MX"/>
          </w:rPr>
          <w:t>L. (nacional) 27264</w:t>
        </w:r>
      </w:hyperlink>
      <w:r w:rsidRPr="00403BD2">
        <w:rPr>
          <w:rFonts w:ascii="Verdana" w:hAnsi="Verdana"/>
          <w:color w:val="000000"/>
          <w:sz w:val="16"/>
          <w:szCs w:val="16"/>
          <w:lang w:val="es-MX"/>
        </w:rPr>
        <w:t>-</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 xml:space="preserve">Los beneficios de estabilidad fiscal, dispuestos en el </w:t>
      </w:r>
      <w:proofErr w:type="spellStart"/>
      <w:r w:rsidRPr="00403BD2">
        <w:rPr>
          <w:rFonts w:ascii="Verdana" w:hAnsi="Verdana"/>
          <w:color w:val="000000"/>
          <w:sz w:val="16"/>
          <w:szCs w:val="16"/>
          <w:lang w:val="es-MX"/>
        </w:rPr>
        <w:t>articulo</w:t>
      </w:r>
      <w:proofErr w:type="spellEnd"/>
      <w:r w:rsidRPr="00403BD2">
        <w:rPr>
          <w:rFonts w:ascii="Verdana" w:hAnsi="Verdana"/>
          <w:color w:val="000000"/>
          <w:sz w:val="16"/>
          <w:szCs w:val="16"/>
          <w:lang w:val="es-MX"/>
        </w:rPr>
        <w:t xml:space="preserve"> 22 de la </w:t>
      </w:r>
      <w:hyperlink r:id="rId9" w:tgtFrame="_blank" w:history="1">
        <w:r w:rsidRPr="00403BD2">
          <w:rPr>
            <w:rStyle w:val="Hipervnculo"/>
            <w:rFonts w:ascii="Verdana" w:hAnsi="Verdana"/>
            <w:sz w:val="16"/>
            <w:szCs w:val="16"/>
            <w:lang w:val="es-MX"/>
          </w:rPr>
          <w:t>ley 13750</w:t>
        </w:r>
      </w:hyperlink>
      <w:r w:rsidRPr="00403BD2">
        <w:rPr>
          <w:rFonts w:ascii="Verdana" w:hAnsi="Verdana"/>
          <w:color w:val="000000"/>
          <w:sz w:val="16"/>
          <w:szCs w:val="16"/>
          <w:lang w:val="es-MX"/>
        </w:rPr>
        <w:t> alcanzarán a las actividades de comercio, servicios, agropecuarias e industriales y regirán hasta el 31 de diciembre de 2023</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El </w:t>
      </w:r>
      <w:hyperlink r:id="rId10" w:anchor="Art_41" w:tgtFrame="_blank" w:history="1">
        <w:r w:rsidRPr="00403BD2">
          <w:rPr>
            <w:rStyle w:val="Hipervnculo"/>
            <w:rFonts w:ascii="Verdana" w:hAnsi="Verdana"/>
            <w:sz w:val="16"/>
            <w:szCs w:val="16"/>
            <w:lang w:val="es-MX"/>
          </w:rPr>
          <w:t>artículo 41 de la ley (Santa Fe) 14244</w:t>
        </w:r>
      </w:hyperlink>
      <w:r w:rsidRPr="00403BD2">
        <w:rPr>
          <w:rFonts w:ascii="Verdana" w:hAnsi="Verdana"/>
          <w:color w:val="000000"/>
          <w:sz w:val="16"/>
          <w:szCs w:val="16"/>
          <w:lang w:val="es-MX"/>
        </w:rPr>
        <w:t> señala que el presente beneficio deberá entenderse aplicable en el impuesto sobre los ingresos brutos a las alícuotas generales o especiales establecidas en la </w:t>
      </w:r>
      <w:hyperlink r:id="rId11" w:tgtFrame="_blank" w:history="1">
        <w:r w:rsidRPr="00403BD2">
          <w:rPr>
            <w:rStyle w:val="Hipervnculo"/>
            <w:rFonts w:ascii="Verdana" w:hAnsi="Verdana"/>
            <w:sz w:val="16"/>
            <w:szCs w:val="16"/>
            <w:lang w:val="es-MX"/>
          </w:rPr>
          <w:t>ley impositiva anual 3650</w:t>
        </w:r>
      </w:hyperlink>
      <w:r w:rsidRPr="00403BD2">
        <w:rPr>
          <w:rFonts w:ascii="Verdana" w:hAnsi="Verdana"/>
          <w:color w:val="000000"/>
          <w:sz w:val="16"/>
          <w:szCs w:val="16"/>
          <w:lang w:val="es-MX"/>
        </w:rPr>
        <w:t> y demás normas tributarias, que se encontraban rigiendo con antelación al momento de entrada en vigencia de la </w:t>
      </w:r>
      <w:hyperlink r:id="rId12" w:tgtFrame="_blank" w:history="1">
        <w:r w:rsidRPr="00403BD2">
          <w:rPr>
            <w:rStyle w:val="Hipervnculo"/>
            <w:rFonts w:ascii="Verdana" w:hAnsi="Verdana"/>
            <w:sz w:val="16"/>
            <w:szCs w:val="16"/>
            <w:lang w:val="es-MX"/>
          </w:rPr>
          <w:t>ley 13750</w:t>
        </w:r>
      </w:hyperlink>
      <w:r w:rsidRPr="00403BD2">
        <w:rPr>
          <w:rFonts w:ascii="Verdana" w:hAnsi="Verdana"/>
          <w:color w:val="000000"/>
          <w:sz w:val="16"/>
          <w:szCs w:val="16"/>
          <w:lang w:val="es-MX"/>
        </w:rPr>
        <w:t>.</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Se entenderán comprendidas dentro de la señalada estabilidad fiscal las modificaciones en los rangos de ingresos brutos y los importes del impuesto a ingresar contemplados en el Régimen Tributario Simplificado establecido en el </w:t>
      </w:r>
      <w:hyperlink r:id="rId13" w:anchor="Titulo2" w:tgtFrame="_blank" w:history="1">
        <w:r w:rsidRPr="00403BD2">
          <w:rPr>
            <w:rStyle w:val="Hipervnculo"/>
            <w:rFonts w:ascii="Verdana" w:hAnsi="Verdana"/>
            <w:sz w:val="16"/>
            <w:szCs w:val="16"/>
            <w:lang w:val="es-MX"/>
          </w:rPr>
          <w:t>Título II de la ley 13617</w:t>
        </w:r>
      </w:hyperlink>
      <w:r w:rsidRPr="00403BD2">
        <w:rPr>
          <w:rFonts w:ascii="Verdana" w:hAnsi="Verdana"/>
          <w:color w:val="000000"/>
          <w:sz w:val="16"/>
          <w:szCs w:val="16"/>
          <w:lang w:val="es-MX"/>
        </w:rPr>
        <w:t>, en la medida en que el incremento en el impuesto que debe ingresarse resulte en igual o inferior proporción al incremento en los rangos de facturación.</w:t>
      </w:r>
    </w:p>
    <w:p w:rsidR="00403BD2" w:rsidRPr="00403BD2" w:rsidRDefault="00403BD2" w:rsidP="002F0E3F">
      <w:pPr>
        <w:pStyle w:val="sangrianovedades"/>
        <w:spacing w:before="0"/>
        <w:jc w:val="both"/>
        <w:rPr>
          <w:rFonts w:ascii="Verdana" w:hAnsi="Verdana"/>
          <w:color w:val="000000"/>
          <w:sz w:val="16"/>
          <w:szCs w:val="16"/>
          <w:lang w:val="es-MX"/>
        </w:rPr>
      </w:pPr>
      <w:r w:rsidRPr="00403BD2">
        <w:rPr>
          <w:rFonts w:ascii="Verdana" w:hAnsi="Verdana"/>
          <w:color w:val="000000"/>
          <w:sz w:val="16"/>
          <w:szCs w:val="16"/>
          <w:lang w:val="es-MX"/>
        </w:rPr>
        <w:t>Respecto al impuesto sobre los ingresos brutos y al impuesto de sellos, el beneficio será aplicable sobre las alícuotas generales o especiales y cantidad de Módulos Tributarios según corresponda. Las empresas beneficiadas por el citado régimen no podrán ver incrementada su carga tributaria, teniendo igual tratamiento que el año anterior si las modificaciones en los rangos de ingresos brutos y en los importes a ingresar en el Régimen Simplificado aumentaran su carga impositiva.</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El </w:t>
      </w:r>
      <w:hyperlink r:id="rId14" w:anchor="Art_44" w:tgtFrame="_blank" w:history="1">
        <w:r w:rsidRPr="00403BD2">
          <w:rPr>
            <w:rStyle w:val="Hipervnculo"/>
            <w:rFonts w:ascii="Verdana" w:hAnsi="Verdana"/>
            <w:sz w:val="16"/>
            <w:szCs w:val="16"/>
            <w:lang w:val="es-MX"/>
          </w:rPr>
          <w:t>artículo 44 de la ley (Santa Fe) 13875</w:t>
        </w:r>
      </w:hyperlink>
      <w:r w:rsidRPr="00403BD2">
        <w:rPr>
          <w:rFonts w:ascii="Verdana" w:hAnsi="Verdana"/>
          <w:color w:val="000000"/>
          <w:sz w:val="16"/>
          <w:szCs w:val="16"/>
          <w:lang w:val="es-MX"/>
        </w:rPr>
        <w:t> establece que en lo relativo al tratamiento tributario aplicable a contribuyentes que tributen la alícuota básica y para el ejercicio 2019 y siguientes en que rija dicho beneficio, deberá considerarse el monto de los ingresos anuales totales obtenidos por los contribuyentes en el período fiscal 2017.</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Ver las condiciones particulares y vigencias del beneficio para cada tipo de contribuyente en los </w:t>
      </w:r>
      <w:hyperlink r:id="rId15" w:anchor="L_Sta_Fe_13750_art_21" w:tgtFrame="_blank" w:history="1">
        <w:r w:rsidRPr="00403BD2">
          <w:rPr>
            <w:rStyle w:val="Hipervnculo"/>
            <w:rFonts w:ascii="Verdana" w:hAnsi="Verdana"/>
            <w:sz w:val="16"/>
            <w:szCs w:val="16"/>
            <w:lang w:val="es-MX"/>
          </w:rPr>
          <w:t>artículos 21 a 25 de la ley 13750</w:t>
        </w:r>
      </w:hyperlink>
      <w:r w:rsidRPr="00403BD2">
        <w:rPr>
          <w:rFonts w:ascii="Verdana" w:hAnsi="Verdana"/>
          <w:color w:val="000000"/>
          <w:sz w:val="16"/>
          <w:szCs w:val="16"/>
          <w:lang w:val="es-MX"/>
        </w:rPr>
        <w:t>.</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Asimismo, el </w:t>
      </w:r>
      <w:hyperlink r:id="rId16" w:anchor="Art_46" w:tgtFrame="_blank" w:history="1">
        <w:r w:rsidRPr="00403BD2">
          <w:rPr>
            <w:rStyle w:val="Hipervnculo"/>
            <w:rFonts w:ascii="Verdana" w:hAnsi="Verdana"/>
            <w:sz w:val="16"/>
            <w:szCs w:val="16"/>
            <w:lang w:val="es-MX"/>
          </w:rPr>
          <w:t>artículo 46 de la ley (Santa Fe) 14244</w:t>
        </w:r>
      </w:hyperlink>
      <w:r w:rsidRPr="00403BD2">
        <w:rPr>
          <w:rFonts w:ascii="Verdana" w:hAnsi="Verdana"/>
          <w:color w:val="000000"/>
          <w:sz w:val="16"/>
          <w:szCs w:val="16"/>
          <w:lang w:val="es-MX"/>
        </w:rPr>
        <w:t> establece que queda excluida del beneficio de la estabilidad fiscal de la </w:t>
      </w:r>
      <w:hyperlink r:id="rId17" w:tgtFrame="_blank" w:history="1">
        <w:r w:rsidRPr="00403BD2">
          <w:rPr>
            <w:rStyle w:val="Hipervnculo"/>
            <w:rFonts w:ascii="Verdana" w:hAnsi="Verdana"/>
            <w:sz w:val="16"/>
            <w:szCs w:val="16"/>
            <w:lang w:val="es-MX"/>
          </w:rPr>
          <w:t>ley (Santa Fe) 13749</w:t>
        </w:r>
      </w:hyperlink>
      <w:r w:rsidRPr="00403BD2">
        <w:rPr>
          <w:rFonts w:ascii="Verdana" w:hAnsi="Verdana"/>
          <w:color w:val="000000"/>
          <w:sz w:val="16"/>
          <w:szCs w:val="16"/>
          <w:lang w:val="es-MX"/>
        </w:rPr>
        <w:t> y ley </w:t>
      </w:r>
      <w:hyperlink r:id="rId18" w:tgtFrame="_blank" w:history="1">
        <w:r w:rsidRPr="00403BD2">
          <w:rPr>
            <w:rStyle w:val="Hipervnculo"/>
            <w:rFonts w:ascii="Verdana" w:hAnsi="Verdana"/>
            <w:sz w:val="16"/>
            <w:szCs w:val="16"/>
            <w:lang w:val="es-MX"/>
          </w:rPr>
          <w:t>13750</w:t>
        </w:r>
      </w:hyperlink>
      <w:r w:rsidRPr="00403BD2">
        <w:rPr>
          <w:rFonts w:ascii="Verdana" w:hAnsi="Verdana"/>
          <w:color w:val="000000"/>
          <w:sz w:val="16"/>
          <w:szCs w:val="16"/>
          <w:lang w:val="es-MX"/>
        </w:rPr>
        <w:t> la actividad industrial de transformación de cereales y oleaginosas, salvo para los contribuyentes alcanzados por los parámetros definidos en el Cuadro A del Anexo I de la resolución (SEYPYME) 340-E/2017 de la Secretaría de Emprendedores y de la Pequeña y Mediana Empresa y sus modificatorias, para quienes el beneficio se extiende hasta el 31 de diciembre de 2024.</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La </w:t>
      </w:r>
      <w:hyperlink r:id="rId19" w:tgtFrame="_blank" w:history="1">
        <w:r w:rsidRPr="00403BD2">
          <w:rPr>
            <w:rStyle w:val="Hipervnculo"/>
            <w:rFonts w:ascii="Verdana" w:hAnsi="Verdana"/>
            <w:sz w:val="16"/>
            <w:szCs w:val="16"/>
            <w:lang w:val="es-MX"/>
          </w:rPr>
          <w:t>ley 14244</w:t>
        </w:r>
      </w:hyperlink>
      <w:r w:rsidRPr="00403BD2">
        <w:rPr>
          <w:rFonts w:ascii="Verdana" w:hAnsi="Verdana"/>
          <w:color w:val="000000"/>
          <w:sz w:val="16"/>
          <w:szCs w:val="16"/>
          <w:lang w:val="es-MX"/>
        </w:rPr>
        <w:t> establece que podrán acceder a los beneficios de estabilidad fiscal únicamente los contribuyentes o responsables que encuadren como “Pymes Santafesinas”.</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Se consideran contribuyentes o responsables Pymes Santafesinas a las micro, pequeñas y medianas empresas, cuyos ingresos brutos anuales totales devengados durante el año 2017 no superaron los montos máximos definidos para cada sector de actividad en: el Cuadro A del Anexo I de la </w:t>
      </w:r>
      <w:hyperlink r:id="rId20" w:tgtFrame="_blank" w:history="1">
        <w:r w:rsidRPr="00403BD2">
          <w:rPr>
            <w:rStyle w:val="Hipervnculo"/>
            <w:rFonts w:ascii="Verdana" w:hAnsi="Verdana"/>
            <w:sz w:val="16"/>
            <w:szCs w:val="16"/>
            <w:lang w:val="es-MX"/>
          </w:rPr>
          <w:t>resolución (SEYPYME) 340-E/2017</w:t>
        </w:r>
      </w:hyperlink>
      <w:r w:rsidRPr="00403BD2">
        <w:rPr>
          <w:rFonts w:ascii="Verdana" w:hAnsi="Verdana"/>
          <w:color w:val="000000"/>
          <w:sz w:val="16"/>
          <w:szCs w:val="16"/>
          <w:lang w:val="es-MX"/>
        </w:rPr>
        <w:t> de la Secretaría de Emprendedores y de la Pequeña y Mediana Empresa y tengan domicilio fiscal en la Provincia de Santa Fe, conforme a lo estipulado en el artículo 30 del Código Fiscal (</w:t>
      </w:r>
      <w:proofErr w:type="spellStart"/>
      <w:r w:rsidRPr="00403BD2">
        <w:rPr>
          <w:rFonts w:ascii="Verdana" w:hAnsi="Verdana"/>
          <w:color w:val="000000"/>
          <w:sz w:val="16"/>
          <w:szCs w:val="16"/>
          <w:lang w:val="es-MX"/>
        </w:rPr>
        <w:t>t.o</w:t>
      </w:r>
      <w:proofErr w:type="spellEnd"/>
      <w:r w:rsidRPr="00403BD2">
        <w:rPr>
          <w:rFonts w:ascii="Verdana" w:hAnsi="Verdana"/>
          <w:color w:val="000000"/>
          <w:sz w:val="16"/>
          <w:szCs w:val="16"/>
          <w:lang w:val="es-MX"/>
        </w:rPr>
        <w:t>. 2014 y sus modificatorias).</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En lo que refiere exclusivamente al sector agropecuario, no serán considerados los topes máximos estipulados para dicho sector en la </w:t>
      </w:r>
      <w:hyperlink r:id="rId21" w:tgtFrame="_blank" w:history="1">
        <w:r w:rsidRPr="00403BD2">
          <w:rPr>
            <w:rStyle w:val="Hipervnculo"/>
            <w:rFonts w:ascii="Verdana" w:hAnsi="Verdana"/>
            <w:sz w:val="16"/>
            <w:szCs w:val="16"/>
            <w:lang w:val="es-MX"/>
          </w:rPr>
          <w:t>resolución (SEYPYME) 340-E/2017</w:t>
        </w:r>
      </w:hyperlink>
      <w:r w:rsidRPr="00403BD2">
        <w:rPr>
          <w:rFonts w:ascii="Verdana" w:hAnsi="Verdana"/>
          <w:color w:val="000000"/>
          <w:sz w:val="16"/>
          <w:szCs w:val="16"/>
          <w:lang w:val="es-MX"/>
        </w:rPr>
        <w:t> de la Secretaría de Emprendedores y de la Pequeña y Mediana Empresa.</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El beneficio de estabilidad fiscal resultará de aplicación para todos los nuevos emprendimientos de los distintos sectores de la actividad, contemplados en el Cuadro A del Anexo I de la </w:t>
      </w:r>
      <w:hyperlink r:id="rId22" w:tgtFrame="_blank" w:history="1">
        <w:r w:rsidRPr="00403BD2">
          <w:rPr>
            <w:rStyle w:val="Hipervnculo"/>
            <w:rFonts w:ascii="Verdana" w:hAnsi="Verdana"/>
            <w:sz w:val="16"/>
            <w:szCs w:val="16"/>
            <w:lang w:val="es-MX"/>
          </w:rPr>
          <w:t>resolución (SEYPYME) 340-E/2017</w:t>
        </w:r>
      </w:hyperlink>
      <w:r w:rsidRPr="00403BD2">
        <w:rPr>
          <w:rFonts w:ascii="Verdana" w:hAnsi="Verdana"/>
          <w:color w:val="000000"/>
          <w:sz w:val="16"/>
          <w:szCs w:val="16"/>
          <w:lang w:val="es-MX"/>
        </w:rPr>
        <w:t xml:space="preserve"> de la Secretaría de Emprendedores y de la Pequeña y Mediana Empresa del Ministerio de la Producción de la Nación, que inicien o hubieran iniciado su actividad en los periodos fiscales 2018, 2019, 2020, 2021, 2022, 2023 o 2024 en tanto sus ingresos brutos anuales devengados o proyectados, durante </w:t>
      </w:r>
      <w:r w:rsidRPr="00403BD2">
        <w:rPr>
          <w:rFonts w:ascii="Verdana" w:hAnsi="Verdana"/>
          <w:color w:val="000000"/>
          <w:sz w:val="16"/>
          <w:szCs w:val="16"/>
          <w:lang w:val="es-MX"/>
        </w:rPr>
        <w:lastRenderedPageBreak/>
        <w:t>el período fiscal del inicio de su actividad, no superen para cada sector los montos máximos definidos en la pertinente resolución (SEYPYME) que se encuentre vigente en el año correspondiente al inicio de su actividad.</w:t>
      </w:r>
    </w:p>
    <w:p w:rsidR="00403BD2" w:rsidRPr="00403BD2" w:rsidRDefault="00403BD2" w:rsidP="002F0E3F">
      <w:pPr>
        <w:pStyle w:val="sangrianovedades"/>
        <w:ind w:left="105" w:right="105" w:firstLine="270"/>
        <w:jc w:val="both"/>
        <w:rPr>
          <w:rFonts w:ascii="Verdana" w:hAnsi="Verdana"/>
          <w:color w:val="000000"/>
          <w:sz w:val="16"/>
          <w:szCs w:val="16"/>
          <w:lang w:val="es-MX"/>
        </w:rPr>
      </w:pPr>
      <w:r w:rsidRPr="00403BD2">
        <w:rPr>
          <w:rFonts w:ascii="Verdana" w:hAnsi="Verdana"/>
          <w:color w:val="000000"/>
          <w:sz w:val="16"/>
          <w:szCs w:val="16"/>
          <w:lang w:val="es-MX"/>
        </w:rPr>
        <w:t>Tratándose del sector agropecuario no serán considerados los topes máximos estipulados en la resolución referida en el párrafo anterior.</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Quienes se encuentren comprendidos en el presente régimen podrán verificar las alícuotas aplicables hasta el 28/2/2018, accediendo desde </w:t>
      </w:r>
      <w:hyperlink r:id="rId23" w:tgtFrame="_blank" w:history="1">
        <w:r w:rsidRPr="00403BD2">
          <w:rPr>
            <w:rStyle w:val="Hipervnculo"/>
            <w:rFonts w:ascii="Verdana" w:hAnsi="Verdana"/>
            <w:sz w:val="16"/>
            <w:szCs w:val="16"/>
            <w:lang w:val="es-MX"/>
          </w:rPr>
          <w:t>aquí</w:t>
        </w:r>
      </w:hyperlink>
      <w:r w:rsidRPr="00403BD2">
        <w:rPr>
          <w:rFonts w:ascii="Verdana" w:hAnsi="Verdana"/>
          <w:color w:val="000000"/>
          <w:sz w:val="16"/>
          <w:szCs w:val="16"/>
          <w:lang w:val="es-MX"/>
        </w:rPr>
        <w:t>.</w:t>
      </w:r>
    </w:p>
    <w:p w:rsidR="002F0E3F" w:rsidRDefault="002F0E3F" w:rsidP="002F0E3F">
      <w:pPr>
        <w:pStyle w:val="sangrianovedades"/>
        <w:spacing w:before="0" w:after="0"/>
        <w:ind w:firstLine="2694"/>
        <w:jc w:val="both"/>
        <w:rPr>
          <w:rFonts w:ascii="Verdana" w:hAnsi="Verdana"/>
          <w:b/>
          <w:bCs/>
          <w:color w:val="000000"/>
          <w:sz w:val="16"/>
          <w:szCs w:val="16"/>
          <w:lang w:val="es-MX"/>
        </w:rPr>
      </w:pPr>
    </w:p>
    <w:p w:rsidR="00403BD2" w:rsidRPr="002F0E3F" w:rsidRDefault="00403BD2" w:rsidP="002F0E3F">
      <w:pPr>
        <w:pStyle w:val="sangrianovedades"/>
        <w:spacing w:before="0" w:after="0"/>
        <w:ind w:firstLine="2694"/>
        <w:jc w:val="both"/>
        <w:rPr>
          <w:rFonts w:ascii="Verdana" w:hAnsi="Verdana"/>
          <w:b/>
          <w:bCs/>
          <w:color w:val="000000"/>
          <w:sz w:val="20"/>
          <w:szCs w:val="20"/>
          <w:lang w:val="es-MX"/>
        </w:rPr>
      </w:pPr>
      <w:r w:rsidRPr="002F0E3F">
        <w:rPr>
          <w:rFonts w:ascii="Verdana" w:hAnsi="Verdana"/>
          <w:b/>
          <w:bCs/>
          <w:color w:val="000000"/>
          <w:sz w:val="20"/>
          <w:szCs w:val="20"/>
          <w:lang w:val="es-MX"/>
        </w:rPr>
        <w:t>Reducción de alícuotas</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El </w:t>
      </w:r>
      <w:hyperlink r:id="rId24" w:anchor="Art_47" w:tgtFrame="_blank" w:history="1">
        <w:r w:rsidRPr="00403BD2">
          <w:rPr>
            <w:rStyle w:val="Hipervnculo"/>
            <w:rFonts w:ascii="Verdana" w:hAnsi="Verdana"/>
            <w:sz w:val="16"/>
            <w:szCs w:val="16"/>
            <w:lang w:val="es-MX"/>
          </w:rPr>
          <w:t>artículo 47 de la ley (Santa Fe) 14244</w:t>
        </w:r>
      </w:hyperlink>
      <w:r w:rsidRPr="00403BD2">
        <w:rPr>
          <w:rFonts w:ascii="Verdana" w:hAnsi="Verdana"/>
          <w:color w:val="000000"/>
          <w:sz w:val="16"/>
          <w:szCs w:val="16"/>
          <w:lang w:val="es-MX"/>
        </w:rPr>
        <w:t xml:space="preserve"> establece la aplicación del beneficio de reducción de alícuotas, en el ejercicio fiscal 2024, para los contribuyentes que desarrollen las actividades industriales en general, actividades industriales de transformación de cereales llevadas a cabo por empresas caracterizadas como “Pymes Santafesinas” y actividades industriales realizadas bajo la modalidad de </w:t>
      </w:r>
      <w:proofErr w:type="spellStart"/>
      <w:r w:rsidRPr="00403BD2">
        <w:rPr>
          <w:rFonts w:ascii="Verdana" w:hAnsi="Verdana"/>
          <w:color w:val="000000"/>
          <w:sz w:val="16"/>
          <w:szCs w:val="16"/>
          <w:lang w:val="es-MX"/>
        </w:rPr>
        <w:t>fasón</w:t>
      </w:r>
      <w:proofErr w:type="spellEnd"/>
      <w:r w:rsidRPr="00403BD2">
        <w:rPr>
          <w:rFonts w:ascii="Verdana" w:hAnsi="Verdana"/>
          <w:color w:val="000000"/>
          <w:sz w:val="16"/>
          <w:szCs w:val="16"/>
          <w:lang w:val="es-MX"/>
        </w:rPr>
        <w:t xml:space="preserve"> por los sujetas denominados </w:t>
      </w:r>
      <w:proofErr w:type="spellStart"/>
      <w:r w:rsidRPr="00403BD2">
        <w:rPr>
          <w:rFonts w:ascii="Verdana" w:hAnsi="Verdana"/>
          <w:color w:val="000000"/>
          <w:sz w:val="16"/>
          <w:szCs w:val="16"/>
          <w:lang w:val="es-MX"/>
        </w:rPr>
        <w:t>fasoniers</w:t>
      </w:r>
      <w:proofErr w:type="spellEnd"/>
      <w:r w:rsidRPr="00403BD2">
        <w:rPr>
          <w:rFonts w:ascii="Verdana" w:hAnsi="Verdana"/>
          <w:color w:val="000000"/>
          <w:sz w:val="16"/>
          <w:szCs w:val="16"/>
          <w:lang w:val="es-MX"/>
        </w:rPr>
        <w:t xml:space="preserve"> o confeccionistas, que vean incrementada su carga tributaria del impuesto sobre los ingresos brutos a nivel consolidado del total de las jurisdicciones donde tributen y siempre que dicho incremento obedezca a aumentos de las alícuotas establecidas para las actividades señaladas. Las alícuotas correspondientes a cada una de las actividades detalladas serán reducidas para cada contribuyente hasta el valor que no permita incrementar su respectiva carga tributaria.</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color w:val="000000"/>
          <w:sz w:val="16"/>
          <w:szCs w:val="16"/>
          <w:lang w:val="es-MX"/>
        </w:rPr>
        <w:t>A los fines del cálculo de las alícuotas que deberán aplicarse para el período fiscal 2024, con motivo del beneficio de reducción previsto, no serán computados los incrementos de alícuotas que pudieran haber establecido para el año 2024 las restantes jurisdicciones. En ningún caso la alícuota resultante podrá ser inferior a la que se encontraba rigiendo con antelación al momento de entrada en vigencia de la </w:t>
      </w:r>
      <w:hyperlink r:id="rId25" w:tgtFrame="_blank" w:history="1">
        <w:r w:rsidRPr="00403BD2">
          <w:rPr>
            <w:rStyle w:val="Hipervnculo"/>
            <w:rFonts w:ascii="Verdana" w:hAnsi="Verdana"/>
            <w:sz w:val="16"/>
            <w:szCs w:val="16"/>
            <w:lang w:val="es-MX"/>
          </w:rPr>
          <w:t>ley (Santa Fe) 13750</w:t>
        </w:r>
      </w:hyperlink>
      <w:r w:rsidRPr="00403BD2">
        <w:rPr>
          <w:rFonts w:ascii="Verdana" w:hAnsi="Verdana"/>
          <w:color w:val="000000"/>
          <w:sz w:val="16"/>
          <w:szCs w:val="16"/>
          <w:lang w:val="es-MX"/>
        </w:rPr>
        <w:t> para la actividad respectiva.</w:t>
      </w:r>
    </w:p>
    <w:p w:rsidR="00403BD2" w:rsidRPr="00403BD2" w:rsidRDefault="00403BD2" w:rsidP="002F0E3F">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2F0E3F" w:rsidRDefault="00403BD2" w:rsidP="002F0E3F">
      <w:pPr>
        <w:pStyle w:val="sangrianovedades"/>
        <w:spacing w:before="0" w:after="0"/>
        <w:ind w:firstLine="2694"/>
        <w:jc w:val="both"/>
        <w:rPr>
          <w:rFonts w:ascii="Verdana" w:hAnsi="Verdana"/>
          <w:b/>
          <w:bCs/>
          <w:color w:val="000000"/>
          <w:sz w:val="20"/>
          <w:szCs w:val="20"/>
          <w:lang w:val="es-MX"/>
        </w:rPr>
      </w:pPr>
      <w:r w:rsidRPr="002F0E3F">
        <w:rPr>
          <w:rFonts w:ascii="Verdana" w:hAnsi="Verdana"/>
          <w:b/>
          <w:bCs/>
          <w:color w:val="000000"/>
          <w:sz w:val="20"/>
          <w:szCs w:val="20"/>
          <w:lang w:val="es-MX"/>
        </w:rPr>
        <w:t>Crédito Fiscal</w:t>
      </w:r>
    </w:p>
    <w:p w:rsidR="00403BD2" w:rsidRPr="00403BD2" w:rsidRDefault="00403BD2" w:rsidP="002F0E3F">
      <w:pPr>
        <w:pStyle w:val="sangrianovedades"/>
        <w:jc w:val="both"/>
        <w:rPr>
          <w:rFonts w:ascii="Verdana" w:hAnsi="Verdana"/>
          <w:color w:val="000000"/>
          <w:sz w:val="16"/>
          <w:szCs w:val="16"/>
          <w:lang w:val="es-MX"/>
        </w:rPr>
      </w:pPr>
      <w:r w:rsidRPr="00403BD2">
        <w:rPr>
          <w:rFonts w:ascii="Verdana" w:hAnsi="Verdana"/>
          <w:i/>
          <w:iCs/>
          <w:color w:val="000000"/>
          <w:sz w:val="16"/>
          <w:szCs w:val="16"/>
          <w:lang w:val="es-MX"/>
        </w:rPr>
        <w:t>Durante el ejercicio fiscal 2024 los contribuyentes del Impuesto sobre los Ingresos Brutos que desarrollen actividades comerciales y/o de servicios gozarán de un beneficio consistente en crédito fiscal o reintegro, conforme lo establezca la reglamentación, equivalente al veinticinco por ciento (25%) del Impuesto Inmobiliario efectivamente abonado del periodo fiscal 2024 y que corresponda al inmueble afectado directamente al desarrollo de dichas actividades.</w:t>
      </w:r>
    </w:p>
    <w:p w:rsidR="00403BD2" w:rsidRPr="00403BD2" w:rsidRDefault="002F0E3F" w:rsidP="002F0E3F">
      <w:pPr>
        <w:pStyle w:val="sangrianovedades"/>
        <w:jc w:val="both"/>
        <w:rPr>
          <w:rFonts w:ascii="Verdana" w:hAnsi="Verdana"/>
          <w:color w:val="000000"/>
          <w:sz w:val="16"/>
          <w:szCs w:val="16"/>
          <w:lang w:val="es-MX"/>
        </w:rPr>
      </w:pPr>
      <w:hyperlink r:id="rId26" w:anchor="Art_28" w:tgtFrame="_blank" w:history="1">
        <w:r w:rsidR="00403BD2" w:rsidRPr="00403BD2">
          <w:rPr>
            <w:rStyle w:val="Hipervnculo"/>
            <w:rFonts w:ascii="Verdana" w:hAnsi="Verdana"/>
            <w:sz w:val="16"/>
            <w:szCs w:val="16"/>
            <w:lang w:val="es-MX"/>
          </w:rPr>
          <w:t>Art. 28 de la Ley 14244</w:t>
        </w:r>
      </w:hyperlink>
    </w:p>
    <w:p w:rsidR="00403BD2" w:rsidRPr="00403BD2" w:rsidRDefault="00403BD2" w:rsidP="002F0E3F">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2F0E3F" w:rsidRDefault="00403BD2" w:rsidP="002F0E3F">
      <w:pPr>
        <w:pStyle w:val="sangrianovedades"/>
        <w:spacing w:before="0" w:after="0"/>
        <w:ind w:firstLine="2694"/>
        <w:jc w:val="both"/>
        <w:rPr>
          <w:rFonts w:ascii="Verdana" w:hAnsi="Verdana"/>
          <w:b/>
          <w:bCs/>
          <w:color w:val="000000"/>
          <w:sz w:val="20"/>
          <w:szCs w:val="20"/>
          <w:lang w:val="es-MX"/>
        </w:rPr>
      </w:pPr>
      <w:r w:rsidRPr="002F0E3F">
        <w:rPr>
          <w:rFonts w:ascii="Verdana" w:hAnsi="Verdana"/>
          <w:b/>
          <w:bCs/>
          <w:color w:val="000000"/>
          <w:sz w:val="20"/>
          <w:szCs w:val="20"/>
          <w:lang w:val="es-MX"/>
        </w:rPr>
        <w:t>Alícuota básica: 4,5%, 5%</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color w:val="000000"/>
          <w:sz w:val="16"/>
          <w:szCs w:val="16"/>
          <w:lang w:val="es-MX"/>
        </w:rPr>
        <w:t>La alícuota básica será del </w:t>
      </w:r>
      <w:r w:rsidRPr="00403BD2">
        <w:rPr>
          <w:rFonts w:ascii="Verdana" w:hAnsi="Verdana"/>
          <w:b/>
          <w:bCs/>
          <w:color w:val="000000"/>
          <w:sz w:val="16"/>
          <w:szCs w:val="16"/>
          <w:lang w:val="es-MX"/>
        </w:rPr>
        <w:t>5%</w:t>
      </w:r>
      <w:r w:rsidRPr="00403BD2">
        <w:rPr>
          <w:rFonts w:ascii="Verdana" w:hAnsi="Verdana"/>
          <w:color w:val="000000"/>
          <w:sz w:val="16"/>
          <w:szCs w:val="16"/>
          <w:lang w:val="es-MX"/>
        </w:rPr>
        <w:t>, para aquellas actividades desarrolladas por contribuyentes y/o responsables cuyos ingresos brutos anuales del período fiscal inmediato anterior superen los montos máximos establecidos en el régimen para las micro, pequeñas o medianas empresas -</w:t>
      </w:r>
      <w:hyperlink r:id="rId27" w:anchor="cuadroA_anexoi" w:tgtFrame="_blank" w:history="1">
        <w:r w:rsidRPr="00403BD2">
          <w:rPr>
            <w:rStyle w:val="Hipervnculo"/>
            <w:rFonts w:ascii="Verdana" w:hAnsi="Verdana"/>
            <w:sz w:val="16"/>
            <w:szCs w:val="16"/>
            <w:lang w:val="es-MX"/>
          </w:rPr>
          <w:t>cuadro A del Anexo I de la R. (</w:t>
        </w:r>
        <w:proofErr w:type="spellStart"/>
        <w:r w:rsidRPr="00403BD2">
          <w:rPr>
            <w:rStyle w:val="Hipervnculo"/>
            <w:rFonts w:ascii="Verdana" w:hAnsi="Verdana"/>
            <w:sz w:val="16"/>
            <w:szCs w:val="16"/>
            <w:lang w:val="es-MX"/>
          </w:rPr>
          <w:t>SEyPyME</w:t>
        </w:r>
        <w:proofErr w:type="spellEnd"/>
        <w:r w:rsidRPr="00403BD2">
          <w:rPr>
            <w:rStyle w:val="Hipervnculo"/>
            <w:rFonts w:ascii="Verdana" w:hAnsi="Verdana"/>
            <w:sz w:val="16"/>
            <w:szCs w:val="16"/>
            <w:lang w:val="es-MX"/>
          </w:rPr>
          <w:t>) 215/2018</w:t>
        </w:r>
      </w:hyperlink>
      <w:r w:rsidRPr="00403BD2">
        <w:rPr>
          <w:rFonts w:ascii="Verdana" w:hAnsi="Verdana"/>
          <w:color w:val="000000"/>
          <w:sz w:val="16"/>
          <w:szCs w:val="16"/>
          <w:lang w:val="es-MX"/>
        </w:rPr>
        <w:t>-.</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color w:val="000000"/>
          <w:sz w:val="16"/>
          <w:szCs w:val="16"/>
          <w:lang w:val="es-MX"/>
        </w:rPr>
        <w:t>Asimismo, la alícuota será del </w:t>
      </w:r>
      <w:r w:rsidRPr="00403BD2">
        <w:rPr>
          <w:rFonts w:ascii="Verdana" w:hAnsi="Verdana"/>
          <w:b/>
          <w:bCs/>
          <w:color w:val="000000"/>
          <w:sz w:val="16"/>
          <w:szCs w:val="16"/>
          <w:lang w:val="es-MX"/>
        </w:rPr>
        <w:t>4,5%</w:t>
      </w:r>
      <w:r w:rsidRPr="00403BD2">
        <w:rPr>
          <w:rFonts w:ascii="Verdana" w:hAnsi="Verdana"/>
          <w:color w:val="000000"/>
          <w:sz w:val="16"/>
          <w:szCs w:val="16"/>
          <w:lang w:val="es-MX"/>
        </w:rPr>
        <w:t> cuando las empresas se encuentren incluidas en el mencionado régimen.</w:t>
      </w:r>
    </w:p>
    <w:p w:rsidR="00403BD2" w:rsidRDefault="00403BD2" w:rsidP="002F0E3F">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2F0E3F" w:rsidRDefault="002F0E3F" w:rsidP="002F0E3F">
      <w:pPr>
        <w:pStyle w:val="sangrianovedades"/>
        <w:spacing w:before="0" w:after="0"/>
        <w:ind w:firstLine="270"/>
        <w:jc w:val="both"/>
        <w:rPr>
          <w:rFonts w:ascii="Verdana" w:hAnsi="Verdana"/>
          <w:color w:val="000000"/>
          <w:sz w:val="16"/>
          <w:szCs w:val="16"/>
          <w:lang w:val="es-MX"/>
        </w:rPr>
      </w:pPr>
    </w:p>
    <w:p w:rsidR="002F0E3F" w:rsidRDefault="002F0E3F" w:rsidP="002F0E3F">
      <w:pPr>
        <w:pStyle w:val="sangrianovedades"/>
        <w:spacing w:before="0" w:after="0"/>
        <w:ind w:firstLine="270"/>
        <w:jc w:val="both"/>
        <w:rPr>
          <w:rFonts w:ascii="Verdana" w:hAnsi="Verdana"/>
          <w:color w:val="000000"/>
          <w:sz w:val="16"/>
          <w:szCs w:val="16"/>
          <w:lang w:val="es-MX"/>
        </w:rPr>
      </w:pPr>
    </w:p>
    <w:p w:rsidR="002F0E3F" w:rsidRPr="00403BD2" w:rsidRDefault="002F0E3F" w:rsidP="002F0E3F">
      <w:pPr>
        <w:pStyle w:val="sangrianovedades"/>
        <w:spacing w:before="0" w:after="0"/>
        <w:ind w:firstLine="270"/>
        <w:jc w:val="both"/>
        <w:rPr>
          <w:rFonts w:ascii="Verdana" w:hAnsi="Verdana"/>
          <w:color w:val="000000"/>
          <w:sz w:val="16"/>
          <w:szCs w:val="16"/>
          <w:lang w:val="es-MX"/>
        </w:rPr>
      </w:pPr>
    </w:p>
    <w:p w:rsidR="00403BD2" w:rsidRPr="002F0E3F" w:rsidRDefault="00403BD2" w:rsidP="002F0E3F">
      <w:pPr>
        <w:pStyle w:val="sangrianovedades"/>
        <w:spacing w:before="0" w:after="0"/>
        <w:ind w:firstLine="2694"/>
        <w:jc w:val="both"/>
        <w:rPr>
          <w:rFonts w:ascii="Verdana" w:hAnsi="Verdana"/>
          <w:b/>
          <w:bCs/>
          <w:color w:val="000000"/>
          <w:sz w:val="20"/>
          <w:szCs w:val="20"/>
          <w:lang w:val="es-MX"/>
        </w:rPr>
      </w:pPr>
      <w:r w:rsidRPr="00403BD2">
        <w:rPr>
          <w:rFonts w:ascii="Verdana" w:hAnsi="Verdana"/>
          <w:color w:val="000000"/>
          <w:sz w:val="16"/>
          <w:szCs w:val="16"/>
          <w:lang w:val="es-MX"/>
        </w:rPr>
        <w:lastRenderedPageBreak/>
        <w:t> </w:t>
      </w:r>
    </w:p>
    <w:p w:rsidR="00403BD2" w:rsidRPr="002F0E3F" w:rsidRDefault="00403BD2" w:rsidP="002F0E3F">
      <w:pPr>
        <w:pStyle w:val="sangrianovedades"/>
        <w:spacing w:before="0" w:after="0"/>
        <w:ind w:firstLine="2694"/>
        <w:jc w:val="both"/>
        <w:rPr>
          <w:rFonts w:ascii="Verdana" w:hAnsi="Verdana"/>
          <w:b/>
          <w:bCs/>
          <w:color w:val="000000"/>
          <w:sz w:val="20"/>
          <w:szCs w:val="20"/>
          <w:lang w:val="es-MX"/>
        </w:rPr>
      </w:pPr>
      <w:r w:rsidRPr="002F0E3F">
        <w:rPr>
          <w:rFonts w:ascii="Verdana" w:hAnsi="Verdana"/>
          <w:b/>
          <w:bCs/>
          <w:color w:val="000000"/>
          <w:sz w:val="20"/>
          <w:szCs w:val="20"/>
          <w:lang w:val="es-MX"/>
        </w:rPr>
        <w:t>Alícuotas diferenciales</w:t>
      </w:r>
    </w:p>
    <w:p w:rsidR="00403BD2" w:rsidRPr="00403BD2" w:rsidRDefault="00403BD2" w:rsidP="002F0E3F">
      <w:pPr>
        <w:pStyle w:val="sangrianovedades"/>
        <w:ind w:firstLine="284"/>
        <w:jc w:val="both"/>
        <w:rPr>
          <w:rFonts w:ascii="Verdana" w:hAnsi="Verdana"/>
          <w:color w:val="000000"/>
          <w:sz w:val="16"/>
          <w:szCs w:val="16"/>
          <w:lang w:val="es-MX"/>
        </w:rPr>
      </w:pPr>
      <w:r w:rsidRPr="00403BD2">
        <w:rPr>
          <w:rFonts w:ascii="Verdana" w:hAnsi="Verdana"/>
          <w:b/>
          <w:bCs/>
          <w:i/>
          <w:iCs/>
          <w:color w:val="000000"/>
          <w:sz w:val="16"/>
          <w:szCs w:val="16"/>
          <w:lang w:val="es-MX"/>
        </w:rPr>
        <w:t>1,55%</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i/>
          <w:iCs/>
          <w:color w:val="000000"/>
          <w:sz w:val="16"/>
          <w:szCs w:val="16"/>
          <w:lang w:val="es-MX"/>
        </w:rPr>
        <w:t>Régimen de promoción para empresas radicadas o que en el futuro se radiquen en la Provincia cuya actividad principal esté destinada a operar como “</w:t>
      </w:r>
      <w:proofErr w:type="spellStart"/>
      <w:r w:rsidRPr="00403BD2">
        <w:rPr>
          <w:rFonts w:ascii="Verdana" w:hAnsi="Verdana"/>
          <w:i/>
          <w:iCs/>
          <w:color w:val="000000"/>
          <w:sz w:val="16"/>
          <w:szCs w:val="16"/>
          <w:lang w:val="es-MX"/>
        </w:rPr>
        <w:t>call</w:t>
      </w:r>
      <w:proofErr w:type="spellEnd"/>
      <w:r w:rsidRPr="00403BD2">
        <w:rPr>
          <w:rFonts w:ascii="Verdana" w:hAnsi="Verdana"/>
          <w:i/>
          <w:iCs/>
          <w:color w:val="000000"/>
          <w:sz w:val="16"/>
          <w:szCs w:val="16"/>
          <w:lang w:val="es-MX"/>
        </w:rPr>
        <w:t xml:space="preserve"> center”.</w:t>
      </w:r>
    </w:p>
    <w:p w:rsidR="00403BD2" w:rsidRPr="00403BD2" w:rsidRDefault="00403BD2" w:rsidP="002F0E3F">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F0E3F">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r w:rsidRPr="00403BD2">
        <w:rPr>
          <w:rFonts w:ascii="Verdana" w:hAnsi="Verdana"/>
          <w:b/>
          <w:bCs/>
          <w:color w:val="000000"/>
          <w:sz w:val="16"/>
          <w:szCs w:val="16"/>
          <w:lang w:val="es-MX"/>
        </w:rPr>
        <w:t>a) 0%</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Los ingresos obtenidos por los sujetos radicados en la Zona Franca Santafesina de Villa Constitución, provenientes de actividades realizadas dentro de la misma.</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Los ingresos provenientes de la introducción de bienes desde el territorio aduanero general o especial con destino a la Zona Franca Santafesina de Villa Constitución.</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Los ingresos derivados de la locación de cosas, obras o servicios y/o prestaciones de servicios que se realicen efectivamente en dichos territorios entre los sujetos radicados.</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Esta alícuota no alcanza a los ingresos brutos generados por:</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1. La venta de bienes al territorio aduanero general o especial, salvo que se trate de bienes de capital que no registren antecedentes de producción en dichos ámbitos territoriales.</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2. Las locaciones y/o prestaciones de servicios a locatarios y prestatarios establecidos en el territorio aduanero general o especial para ser utilizadas en dicho territorio.</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Los sujetos que desarrollen las actividades incluidas en el presente inciso, están obligados a inscribirse como contribuyente en el impuesto y a cumplimentar las restantes obligaciones que como contribuyente les corresponden, incluida la presentación de las declaraciones juradas respectivas.</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Los ingresos provenientes de la construcción de obra pública, cuando el estudio, la ejecución, fiscalización y/o financiamiento se encuentre a cargo del Estado Nacional, Provincial y/o Municipal o Comunal, comprendiéndose dentro del mismo a los entes centralizados, descentralizados, autárquicos, sociedades anónimas con participación estatal mayoritaria, instituciones de seguridad social o empresas del Estado Nacional, Provincial y/o Municipal o Comunal que</w:t>
      </w:r>
      <w:r w:rsidRPr="00403BD2">
        <w:rPr>
          <w:rFonts w:ascii="Verdana" w:hAnsi="Verdana"/>
          <w:color w:val="000000"/>
          <w:sz w:val="16"/>
          <w:szCs w:val="16"/>
          <w:lang w:val="es-MX"/>
        </w:rPr>
        <w:t> </w:t>
      </w:r>
      <w:r w:rsidRPr="00403BD2">
        <w:rPr>
          <w:rFonts w:ascii="Verdana" w:hAnsi="Verdana"/>
          <w:i/>
          <w:iCs/>
          <w:color w:val="000000"/>
          <w:sz w:val="16"/>
          <w:szCs w:val="16"/>
          <w:lang w:val="es-MX"/>
        </w:rPr>
        <w:t>realicen operaciones comerciales, industriales, bancarias, de prestación de servicios o de cualquier tipo de actividad a título oneroso.</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La alícuota del 0% también será de aplicación para el caso de los subcontratistas, cuando se deje debida constancia de tal calidad en la factura o comprobante que al efecto se emita.</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La actividad de construcción de inmuebles a aquellas empresas cuya facturación anual sea menor a $ 2.250.000.</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b/>
          <w:bCs/>
          <w:i/>
          <w:iCs/>
          <w:color w:val="000000"/>
          <w:sz w:val="16"/>
          <w:szCs w:val="16"/>
          <w:lang w:val="es-MX"/>
        </w:rPr>
        <w:t>0,25%</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Comercialización de cereales, forrajeras, oleaginosas y cualquier otro producto agrícola, efectuada por cuenta propia por los acopiadores de esos productos, cuyos ingresos brutos anuales totales en el periodo fiscal inmediato anterior, generados exclusivamente por esta actividad, resulten inferiores o iguales a pesos doscientos millones ($ 200.000.000).</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b/>
          <w:bCs/>
          <w:i/>
          <w:iCs/>
          <w:color w:val="000000"/>
          <w:sz w:val="16"/>
          <w:szCs w:val="16"/>
          <w:lang w:val="es-MX"/>
        </w:rPr>
        <w:t>0,45%</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Comercialización de cereales, forrajeras, oleaginosas y cualquier otro producto agrícola, efectuada por cuenta propia por los acopiadores de esos productos cuyos ingresos brutos anuales totales en el periodo fiscal inmediato anterior, generados exclusivamente por esta actividad, resulten superiores a pesos doscientos millones ($ 200.000.000)."</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lastRenderedPageBreak/>
        <w:t> </w:t>
      </w:r>
      <w:r w:rsidRPr="00403BD2">
        <w:rPr>
          <w:rFonts w:ascii="Verdana" w:hAnsi="Verdana"/>
          <w:b/>
          <w:bCs/>
          <w:i/>
          <w:iCs/>
          <w:color w:val="000000"/>
          <w:sz w:val="16"/>
          <w:szCs w:val="16"/>
          <w:lang w:val="es-MX"/>
        </w:rPr>
        <w:t>a bis) 0,75% </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Agricultura y ganadería</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Silvicultura y extracción de madera</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Caza ordinaria o mediante trampas y repoblación de animales</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Pesca</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Explotación de minas de carbón</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Extracción de minerales no metálicos no clasificados en otra parte y explotación de canteras</w:t>
      </w:r>
    </w:p>
    <w:p w:rsidR="00403BD2" w:rsidRDefault="00403BD2" w:rsidP="002F0E3F">
      <w:pPr>
        <w:pStyle w:val="sangrianovedades"/>
        <w:ind w:left="105" w:firstLine="270"/>
        <w:jc w:val="both"/>
        <w:rPr>
          <w:rFonts w:ascii="Verdana" w:hAnsi="Verdana"/>
          <w:i/>
          <w:iCs/>
          <w:color w:val="000000"/>
          <w:sz w:val="16"/>
          <w:szCs w:val="16"/>
          <w:lang w:val="es-MX"/>
        </w:rPr>
      </w:pPr>
      <w:r w:rsidRPr="00403BD2">
        <w:rPr>
          <w:rFonts w:ascii="Verdana" w:hAnsi="Verdana"/>
          <w:i/>
          <w:iCs/>
          <w:color w:val="000000"/>
          <w:sz w:val="16"/>
          <w:szCs w:val="16"/>
          <w:lang w:val="es-MX"/>
        </w:rPr>
        <w:t>- La mera compra de productos agropecuarios, forestales, frutos del país y minerales para industrializarlos o venderlos fuera de la jurisdicción.</w:t>
      </w:r>
    </w:p>
    <w:p w:rsidR="0028509C" w:rsidRPr="00403BD2" w:rsidRDefault="0028509C" w:rsidP="0028509C">
      <w:pPr>
        <w:pStyle w:val="sangrianovedades"/>
        <w:pBdr>
          <w:bottom w:val="single" w:sz="4" w:space="1" w:color="auto"/>
        </w:pBdr>
        <w:ind w:left="105" w:firstLine="270"/>
        <w:jc w:val="both"/>
        <w:rPr>
          <w:rFonts w:ascii="Verdana" w:hAnsi="Verdana"/>
          <w:color w:val="000000"/>
          <w:sz w:val="16"/>
          <w:szCs w:val="16"/>
          <w:lang w:val="es-MX"/>
        </w:rPr>
      </w:pP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b/>
          <w:bCs/>
          <w:color w:val="000000"/>
          <w:sz w:val="16"/>
          <w:szCs w:val="16"/>
          <w:lang w:val="es-MX"/>
        </w:rPr>
        <w:t>b) 1%</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color w:val="000000"/>
          <w:sz w:val="16"/>
          <w:szCs w:val="16"/>
          <w:lang w:val="es-MX"/>
        </w:rPr>
        <w:t>Comercio al por menor de medicamentos</w:t>
      </w:r>
      <w:r w:rsidRPr="00403BD2">
        <w:rPr>
          <w:rFonts w:ascii="Verdana" w:hAnsi="Verdana"/>
          <w:i/>
          <w:iCs/>
          <w:color w:val="000000"/>
          <w:sz w:val="16"/>
          <w:szCs w:val="16"/>
          <w:lang w:val="es-MX"/>
        </w:rPr>
        <w:t>, incluidos los suministrados en sanatorios</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Producción de petróleo crudo y gas natural</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r w:rsidRPr="00403BD2">
        <w:rPr>
          <w:rFonts w:ascii="Verdana" w:hAnsi="Verdana"/>
          <w:b/>
          <w:bCs/>
          <w:color w:val="000000"/>
          <w:sz w:val="16"/>
          <w:szCs w:val="16"/>
          <w:lang w:val="es-MX"/>
        </w:rPr>
        <w:t>c) 1,5%</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Transporte de cargas y pasajeras cuando para el ejercicio de la actividad se afecten vehículos radicados en jurisdicción de la Provincia de Santa Fe.</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color w:val="000000"/>
          <w:sz w:val="16"/>
          <w:szCs w:val="16"/>
          <w:lang w:val="es-MX"/>
        </w:rPr>
        <w:t>En caso de que se afecten, además, vehículos radicados en otras jurisdicciones, los ingresos alcanzados por esta alícuota se determinarán en proporción a los vehículos radicados en la Provincia de Santa Fe. La proporción restante tributará a la alícuota prevista en el </w:t>
      </w:r>
      <w:hyperlink r:id="rId28" w:anchor="ART_7_INC_D" w:tgtFrame="_blank" w:history="1">
        <w:r w:rsidRPr="00403BD2">
          <w:rPr>
            <w:rStyle w:val="Hipervnculo"/>
            <w:rFonts w:ascii="Verdana" w:hAnsi="Verdana"/>
            <w:sz w:val="16"/>
            <w:szCs w:val="16"/>
            <w:lang w:val="es-MX"/>
          </w:rPr>
          <w:t>acápite III del inciso d) artículo 7 de la Ley Impositiva Anual</w:t>
        </w:r>
      </w:hyperlink>
      <w:r w:rsidRPr="00403BD2">
        <w:rPr>
          <w:rFonts w:ascii="Verdana" w:hAnsi="Verdana"/>
          <w:color w:val="000000"/>
          <w:sz w:val="16"/>
          <w:szCs w:val="16"/>
          <w:lang w:val="es-MX"/>
        </w:rPr>
        <w:t> .</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color w:val="000000"/>
          <w:sz w:val="16"/>
          <w:szCs w:val="16"/>
          <w:lang w:val="es-MX"/>
        </w:rPr>
        <w:t>- Las actividades industriales en general de empresas, que hayan tenido durante el ejercicio anterior ingresos brutos superiores a </w:t>
      </w:r>
      <w:r w:rsidRPr="00403BD2">
        <w:rPr>
          <w:rFonts w:ascii="Verdana" w:hAnsi="Verdana"/>
          <w:i/>
          <w:iCs/>
          <w:color w:val="000000"/>
          <w:sz w:val="16"/>
          <w:szCs w:val="16"/>
          <w:lang w:val="es-MX"/>
        </w:rPr>
        <w:t>$ 432.000.000</w:t>
      </w:r>
      <w:r w:rsidRPr="00403BD2">
        <w:rPr>
          <w:rFonts w:ascii="Verdana" w:hAnsi="Verdana"/>
          <w:color w:val="000000"/>
          <w:sz w:val="16"/>
          <w:szCs w:val="16"/>
          <w:lang w:val="es-MX"/>
        </w:rPr>
        <w:t>, excepto para los ingresos que provengan del expendio de productos de propia elaboración directamente al público consumidor que resultarán gravados a la alícuota básica.</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color w:val="000000"/>
          <w:sz w:val="16"/>
          <w:szCs w:val="16"/>
          <w:lang w:val="es-MX"/>
        </w:rPr>
        <w:t>- Los ingresos provenientes de la actividad industrial de transformación de cereales y oleaginosas realizada por cooperativas que hayan tenido ingresos brutos anuales totales en el período fiscal inmediato anterior iguales o superiores a </w:t>
      </w:r>
      <w:r w:rsidRPr="00403BD2">
        <w:rPr>
          <w:rFonts w:ascii="Verdana" w:hAnsi="Verdana"/>
          <w:i/>
          <w:iCs/>
          <w:color w:val="000000"/>
          <w:sz w:val="16"/>
          <w:szCs w:val="16"/>
          <w:lang w:val="es-MX"/>
        </w:rPr>
        <w:t>$ 432.000.000 y</w:t>
      </w:r>
      <w:r w:rsidRPr="00403BD2">
        <w:rPr>
          <w:rFonts w:ascii="Verdana" w:hAnsi="Verdana"/>
          <w:color w:val="000000"/>
          <w:sz w:val="16"/>
          <w:szCs w:val="16"/>
          <w:lang w:val="es-MX"/>
        </w:rPr>
        <w:t>/o hayan procesado en dicho período más de 360.000 toneladas de granos.</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xml:space="preserve">- La actividad industrial bajo la modalidad de </w:t>
      </w:r>
      <w:proofErr w:type="spellStart"/>
      <w:r w:rsidRPr="00403BD2">
        <w:rPr>
          <w:rFonts w:ascii="Verdana" w:hAnsi="Verdana"/>
          <w:color w:val="000000"/>
          <w:sz w:val="16"/>
          <w:szCs w:val="16"/>
          <w:lang w:val="es-MX"/>
        </w:rPr>
        <w:t>fason</w:t>
      </w:r>
      <w:proofErr w:type="spellEnd"/>
      <w:r w:rsidRPr="00403BD2">
        <w:rPr>
          <w:rFonts w:ascii="Verdana" w:hAnsi="Verdana"/>
          <w:color w:val="000000"/>
          <w:sz w:val="16"/>
          <w:szCs w:val="16"/>
          <w:lang w:val="es-MX"/>
        </w:rPr>
        <w:t xml:space="preserve">, desarrollada para terceros por los sujetos denominados </w:t>
      </w:r>
      <w:proofErr w:type="spellStart"/>
      <w:r w:rsidRPr="00403BD2">
        <w:rPr>
          <w:rFonts w:ascii="Verdana" w:hAnsi="Verdana"/>
          <w:color w:val="000000"/>
          <w:sz w:val="16"/>
          <w:szCs w:val="16"/>
          <w:lang w:val="es-MX"/>
        </w:rPr>
        <w:t>fasoniers</w:t>
      </w:r>
      <w:proofErr w:type="spellEnd"/>
      <w:r w:rsidRPr="00403BD2">
        <w:rPr>
          <w:rFonts w:ascii="Verdana" w:hAnsi="Verdana"/>
          <w:color w:val="000000"/>
          <w:sz w:val="16"/>
          <w:szCs w:val="16"/>
          <w:lang w:val="es-MX"/>
        </w:rPr>
        <w:t xml:space="preserve"> o confeccionistas.</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xml:space="preserve">- Los ingresos brutos correspondientes a la venta de productos realizada por contribuyentes con establecimientos industriales, excepto por las ventas al público consumidor, cuya elaboración se efectuó bajo la modalidad de </w:t>
      </w:r>
      <w:proofErr w:type="spellStart"/>
      <w:r w:rsidRPr="00403BD2">
        <w:rPr>
          <w:rFonts w:ascii="Verdana" w:hAnsi="Verdana"/>
          <w:color w:val="000000"/>
          <w:sz w:val="16"/>
          <w:szCs w:val="16"/>
          <w:lang w:val="es-MX"/>
        </w:rPr>
        <w:t>fason</w:t>
      </w:r>
      <w:proofErr w:type="spellEnd"/>
      <w:r w:rsidRPr="00403BD2">
        <w:rPr>
          <w:rFonts w:ascii="Verdana" w:hAnsi="Verdana"/>
          <w:color w:val="000000"/>
          <w:sz w:val="16"/>
          <w:szCs w:val="16"/>
          <w:lang w:val="es-MX"/>
        </w:rPr>
        <w:t>.</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color w:val="000000"/>
          <w:sz w:val="16"/>
          <w:szCs w:val="16"/>
          <w:lang w:val="es-MX"/>
        </w:rPr>
        <w:t xml:space="preserve">- La venta directa de las carnes realizada por establecimientos </w:t>
      </w:r>
      <w:proofErr w:type="spellStart"/>
      <w:r w:rsidRPr="00403BD2">
        <w:rPr>
          <w:rFonts w:ascii="Verdana" w:hAnsi="Verdana"/>
          <w:color w:val="000000"/>
          <w:sz w:val="16"/>
          <w:szCs w:val="16"/>
          <w:lang w:val="es-MX"/>
        </w:rPr>
        <w:t>faenadores</w:t>
      </w:r>
      <w:proofErr w:type="spellEnd"/>
      <w:r w:rsidRPr="00403BD2">
        <w:rPr>
          <w:rFonts w:ascii="Verdana" w:hAnsi="Verdana"/>
          <w:color w:val="000000"/>
          <w:sz w:val="16"/>
          <w:szCs w:val="16"/>
          <w:lang w:val="es-MX"/>
        </w:rPr>
        <w:t xml:space="preserve"> de animales vacunos, porcinos, ovinos y caprinos a cualquier otro operador de la cadena comercial cuando los ingresos brutos anuales totales generados por esta actividad, en el período fiscal inmediato anterior al considerado, resulten superiores a la suma de </w:t>
      </w:r>
      <w:r w:rsidRPr="00403BD2">
        <w:rPr>
          <w:rFonts w:ascii="Verdana" w:hAnsi="Verdana"/>
          <w:i/>
          <w:iCs/>
          <w:color w:val="000000"/>
          <w:sz w:val="16"/>
          <w:szCs w:val="16"/>
          <w:lang w:val="es-MX"/>
        </w:rPr>
        <w:t>$ 206.000.000</w:t>
      </w:r>
      <w:r w:rsidRPr="00403BD2">
        <w:rPr>
          <w:rFonts w:ascii="Verdana" w:hAnsi="Verdana"/>
          <w:color w:val="000000"/>
          <w:sz w:val="16"/>
          <w:szCs w:val="16"/>
          <w:lang w:val="es-MX"/>
        </w:rPr>
        <w:t>, excepto por sus ventas al público consumidor, que tributarán a la alícuota básica a general.</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xml:space="preserve">- La venta de carnes vacunas, porcinas, ovinas y caprinas de animales faenados directamente por el matarife abastecedor en establecimientos de terceros, que cuenten con la matrícula habilitante otorgada </w:t>
      </w:r>
      <w:r w:rsidRPr="00403BD2">
        <w:rPr>
          <w:rFonts w:ascii="Verdana" w:hAnsi="Verdana"/>
          <w:color w:val="000000"/>
          <w:sz w:val="16"/>
          <w:szCs w:val="16"/>
          <w:lang w:val="es-MX"/>
        </w:rPr>
        <w:lastRenderedPageBreak/>
        <w:t>por el organismo de contralor pertinente, excepto las ventas al público consumidor de dichos productos, que tributarán a la alícuota básica o general.</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color w:val="000000"/>
          <w:sz w:val="16"/>
          <w:szCs w:val="16"/>
          <w:lang w:val="es-MX"/>
        </w:rPr>
        <w:t xml:space="preserve">- Los ingresos de los establecimientos </w:t>
      </w:r>
      <w:proofErr w:type="spellStart"/>
      <w:r w:rsidRPr="00403BD2">
        <w:rPr>
          <w:rFonts w:ascii="Verdana" w:hAnsi="Verdana"/>
          <w:color w:val="000000"/>
          <w:sz w:val="16"/>
          <w:szCs w:val="16"/>
          <w:lang w:val="es-MX"/>
        </w:rPr>
        <w:t>faenadores</w:t>
      </w:r>
      <w:proofErr w:type="spellEnd"/>
      <w:r w:rsidRPr="00403BD2">
        <w:rPr>
          <w:rFonts w:ascii="Verdana" w:hAnsi="Verdana"/>
          <w:color w:val="000000"/>
          <w:sz w:val="16"/>
          <w:szCs w:val="16"/>
          <w:lang w:val="es-MX"/>
        </w:rPr>
        <w:t>, provenientes de la venta de cueros frescos recibidos como retribución del servicio de faena de animales vacunos, porcinos, ovinos y caprinos de propiedad de terceros, cuando los ingresos brutos anuales totales generados por esta actividad, en el período fiscal inmediato anterior al considerado, resulten superiores a la suma de </w:t>
      </w:r>
      <w:r w:rsidRPr="00403BD2">
        <w:rPr>
          <w:rFonts w:ascii="Verdana" w:hAnsi="Verdana"/>
          <w:i/>
          <w:iCs/>
          <w:color w:val="000000"/>
          <w:sz w:val="16"/>
          <w:szCs w:val="16"/>
          <w:lang w:val="es-MX"/>
        </w:rPr>
        <w:t>$ 432.000.000</w:t>
      </w:r>
    </w:p>
    <w:p w:rsidR="0028509C" w:rsidRDefault="0028509C" w:rsidP="0028509C">
      <w:pPr>
        <w:pStyle w:val="sangrianovedades"/>
        <w:pBdr>
          <w:bottom w:val="single" w:sz="4" w:space="1" w:color="auto"/>
        </w:pBdr>
        <w:ind w:left="105" w:firstLine="270"/>
        <w:jc w:val="both"/>
        <w:rPr>
          <w:rFonts w:ascii="Verdana" w:hAnsi="Verdana"/>
          <w:b/>
          <w:bCs/>
          <w:color w:val="000000"/>
          <w:sz w:val="16"/>
          <w:szCs w:val="16"/>
          <w:lang w:val="es-MX"/>
        </w:rPr>
      </w:pP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b/>
          <w:bCs/>
          <w:color w:val="000000"/>
          <w:sz w:val="16"/>
          <w:szCs w:val="16"/>
          <w:lang w:val="es-MX"/>
        </w:rPr>
        <w:t>d) 2%</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I. Comercio al por mayor y menor de agroquímicos, semillas y fertilizantes.</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II. La construcción de inmuebles.</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color w:val="000000"/>
          <w:sz w:val="16"/>
          <w:szCs w:val="16"/>
          <w:lang w:val="es-MX"/>
        </w:rPr>
        <w:t>III. Transporte de cargas y pasajeros</w:t>
      </w:r>
      <w:r w:rsidRPr="00403BD2">
        <w:rPr>
          <w:rFonts w:ascii="Verdana" w:hAnsi="Verdana"/>
          <w:i/>
          <w:iCs/>
          <w:color w:val="000000"/>
          <w:sz w:val="16"/>
          <w:szCs w:val="16"/>
          <w:lang w:val="es-MX"/>
        </w:rPr>
        <w:t>.</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IV. Actividad industrial de transformación de cereales y oleaginosas.</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r w:rsidRPr="00403BD2">
        <w:rPr>
          <w:rFonts w:ascii="Verdana" w:hAnsi="Verdana"/>
          <w:b/>
          <w:bCs/>
          <w:color w:val="000000"/>
          <w:sz w:val="16"/>
          <w:szCs w:val="16"/>
          <w:lang w:val="es-MX"/>
        </w:rPr>
        <w:t>e) 2,5%</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Comercio al por mayor de alimentos y bebidas</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Producción y distribución de electricidad, gas y agua, destinada a uso no residencial</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Venta directa al público de productos que tengan un proceso industrial, derivados de carne, derivados de harina (industria de la panificación), hortalizas y frutas</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i/>
          <w:iCs/>
          <w:color w:val="000000"/>
          <w:sz w:val="16"/>
          <w:szCs w:val="16"/>
          <w:lang w:val="es-MX"/>
        </w:rPr>
        <w:t>Actividades médicas asistenciales, prestadas por establecimientos privados con y sin internación que se detallan a continuación:</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Servicios de internación</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Servicios hospitalarios, incluyendo los de hospital de día</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Servicios de atención a ancianos, personas minusválidas, menores y/o mujeres, con alojamiento</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Servicios de emergencia, atención médica ambulatoria y de atención domiciliaria programada</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roofErr w:type="spellStart"/>
      <w:r w:rsidRPr="00403BD2">
        <w:rPr>
          <w:rFonts w:ascii="Verdana" w:hAnsi="Verdana"/>
          <w:b/>
          <w:bCs/>
          <w:i/>
          <w:iCs/>
          <w:color w:val="000000"/>
          <w:sz w:val="16"/>
          <w:szCs w:val="16"/>
          <w:lang w:val="es-MX"/>
        </w:rPr>
        <w:t>e</w:t>
      </w:r>
      <w:proofErr w:type="spellEnd"/>
      <w:r w:rsidRPr="00403BD2">
        <w:rPr>
          <w:rFonts w:ascii="Verdana" w:hAnsi="Verdana"/>
          <w:b/>
          <w:bCs/>
          <w:i/>
          <w:iCs/>
          <w:color w:val="000000"/>
          <w:sz w:val="16"/>
          <w:szCs w:val="16"/>
          <w:lang w:val="es-MX"/>
        </w:rPr>
        <w:t> bis) 3%</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i/>
          <w:iCs/>
          <w:color w:val="000000"/>
          <w:sz w:val="16"/>
          <w:szCs w:val="16"/>
          <w:lang w:val="es-MX"/>
        </w:rPr>
        <w:t>Servicios conexos a la construcción</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roofErr w:type="spellStart"/>
      <w:r w:rsidRPr="00403BD2">
        <w:rPr>
          <w:rFonts w:ascii="Verdana" w:hAnsi="Verdana"/>
          <w:b/>
          <w:bCs/>
          <w:i/>
          <w:iCs/>
          <w:color w:val="000000"/>
          <w:sz w:val="16"/>
          <w:szCs w:val="16"/>
          <w:lang w:val="es-MX"/>
        </w:rPr>
        <w:t>e</w:t>
      </w:r>
      <w:proofErr w:type="spellEnd"/>
      <w:r w:rsidRPr="00403BD2">
        <w:rPr>
          <w:rFonts w:ascii="Verdana" w:hAnsi="Verdana"/>
          <w:b/>
          <w:bCs/>
          <w:i/>
          <w:iCs/>
          <w:color w:val="000000"/>
          <w:sz w:val="16"/>
          <w:szCs w:val="16"/>
          <w:lang w:val="es-MX"/>
        </w:rPr>
        <w:t> ter) 3,75%</w:t>
      </w:r>
    </w:p>
    <w:p w:rsidR="00403BD2" w:rsidRPr="00403BD2" w:rsidRDefault="00403BD2" w:rsidP="002F0E3F">
      <w:pPr>
        <w:pStyle w:val="sangrianovedades"/>
        <w:ind w:left="105" w:right="105" w:firstLine="270"/>
        <w:jc w:val="both"/>
        <w:rPr>
          <w:rFonts w:ascii="Verdana" w:hAnsi="Verdana"/>
          <w:color w:val="000000"/>
          <w:sz w:val="16"/>
          <w:szCs w:val="16"/>
          <w:lang w:val="es-MX"/>
        </w:rPr>
      </w:pPr>
      <w:r w:rsidRPr="00403BD2">
        <w:rPr>
          <w:rFonts w:ascii="Verdana" w:hAnsi="Verdana"/>
          <w:i/>
          <w:iCs/>
          <w:color w:val="000000"/>
          <w:sz w:val="16"/>
          <w:szCs w:val="16"/>
          <w:lang w:val="es-MX"/>
        </w:rPr>
        <w:t>Producción y distribución de electricidad, gas y agua con destino al uso residencial.</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r w:rsidRPr="00403BD2">
        <w:rPr>
          <w:rFonts w:ascii="Verdana" w:hAnsi="Verdana"/>
          <w:b/>
          <w:bCs/>
          <w:color w:val="000000"/>
          <w:sz w:val="16"/>
          <w:szCs w:val="16"/>
          <w:lang w:val="es-MX"/>
        </w:rPr>
        <w:t>f) </w:t>
      </w:r>
      <w:r w:rsidRPr="00403BD2">
        <w:rPr>
          <w:rFonts w:ascii="Verdana" w:hAnsi="Verdana"/>
          <w:b/>
          <w:bCs/>
          <w:i/>
          <w:iCs/>
          <w:color w:val="000000"/>
          <w:sz w:val="16"/>
          <w:szCs w:val="16"/>
          <w:lang w:val="es-MX"/>
        </w:rPr>
        <w:t>4,5%</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i/>
          <w:iCs/>
          <w:color w:val="000000"/>
          <w:sz w:val="16"/>
          <w:szCs w:val="16"/>
          <w:lang w:val="es-MX"/>
        </w:rPr>
        <w:t>Hoteles y restaurantes</w:t>
      </w:r>
    </w:p>
    <w:p w:rsidR="00403BD2" w:rsidRPr="00403BD2" w:rsidRDefault="00403BD2" w:rsidP="002F0E3F">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lastRenderedPageBreak/>
        <w:t> </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b/>
          <w:bCs/>
          <w:i/>
          <w:iCs/>
          <w:color w:val="000000"/>
          <w:sz w:val="16"/>
          <w:szCs w:val="16"/>
          <w:lang w:val="es-MX"/>
        </w:rPr>
        <w:t>f bis) 4,75%</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i/>
          <w:iCs/>
          <w:color w:val="000000"/>
          <w:sz w:val="16"/>
          <w:szCs w:val="16"/>
          <w:lang w:val="es-MX"/>
        </w:rPr>
        <w:t>Servicios sociales y de salud</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r w:rsidRPr="00403BD2">
        <w:rPr>
          <w:rFonts w:ascii="Verdana" w:hAnsi="Verdana"/>
          <w:b/>
          <w:bCs/>
          <w:color w:val="000000"/>
          <w:sz w:val="16"/>
          <w:szCs w:val="16"/>
          <w:lang w:val="es-MX"/>
        </w:rPr>
        <w:t>g) </w:t>
      </w:r>
      <w:r w:rsidRPr="00403BD2">
        <w:rPr>
          <w:rFonts w:ascii="Verdana" w:hAnsi="Verdana"/>
          <w:b/>
          <w:bCs/>
          <w:i/>
          <w:iCs/>
          <w:color w:val="000000"/>
          <w:sz w:val="16"/>
          <w:szCs w:val="16"/>
          <w:lang w:val="es-MX"/>
        </w:rPr>
        <w:t>5%</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color w:val="000000"/>
          <w:sz w:val="16"/>
          <w:szCs w:val="16"/>
          <w:lang w:val="es-MX"/>
        </w:rPr>
        <w:t>- </w:t>
      </w:r>
      <w:r w:rsidRPr="00403BD2">
        <w:rPr>
          <w:rFonts w:ascii="Verdana" w:hAnsi="Verdana"/>
          <w:i/>
          <w:iCs/>
          <w:color w:val="000000"/>
          <w:sz w:val="16"/>
          <w:szCs w:val="16"/>
          <w:lang w:val="es-MX"/>
        </w:rPr>
        <w:t>Servicio de comunicaciones.</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Compraventa de divisas.</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Servicios de acopiadores de productos agropecuarios.</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Toda actividad de intermediación que se ejerza percibiendo comisiones, bonificaciones, porcentajes u otras retribuciones análogas tales como consignaciones, intermediación en la compraventa de títulos, de bienes muebles e inmuebles, en forma pública o privada, agencias o representaciones para la venta de mercaderías de propiedad de terceros, comisiones por publicidad o actividades similares”.</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b/>
          <w:bCs/>
          <w:color w:val="000000"/>
          <w:sz w:val="16"/>
          <w:szCs w:val="16"/>
          <w:lang w:val="es-MX"/>
        </w:rPr>
        <w:t>h) </w:t>
      </w:r>
      <w:r w:rsidRPr="00403BD2">
        <w:rPr>
          <w:rFonts w:ascii="Verdana" w:hAnsi="Verdana"/>
          <w:b/>
          <w:bCs/>
          <w:i/>
          <w:iCs/>
          <w:color w:val="000000"/>
          <w:sz w:val="16"/>
          <w:szCs w:val="16"/>
          <w:lang w:val="es-MX"/>
        </w:rPr>
        <w:t>5,5%</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i/>
          <w:iCs/>
          <w:color w:val="000000"/>
          <w:sz w:val="16"/>
          <w:szCs w:val="16"/>
          <w:lang w:val="es-MX"/>
        </w:rPr>
        <w:t>Negociación de planes de ahorro u orden es de compras</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b/>
          <w:bCs/>
          <w:color w:val="000000"/>
          <w:sz w:val="16"/>
          <w:szCs w:val="16"/>
          <w:lang w:val="es-MX"/>
        </w:rPr>
        <w:t>i) </w:t>
      </w:r>
      <w:r w:rsidRPr="00403BD2">
        <w:rPr>
          <w:rFonts w:ascii="Verdana" w:hAnsi="Verdana"/>
          <w:color w:val="000000"/>
          <w:sz w:val="16"/>
          <w:szCs w:val="16"/>
          <w:lang w:val="es-MX"/>
        </w:rPr>
        <w:t>Suprimido por</w:t>
      </w:r>
      <w:r w:rsidRPr="00403BD2">
        <w:rPr>
          <w:rFonts w:ascii="Verdana" w:hAnsi="Verdana"/>
          <w:b/>
          <w:bCs/>
          <w:i/>
          <w:iCs/>
          <w:color w:val="000000"/>
          <w:sz w:val="16"/>
          <w:szCs w:val="16"/>
          <w:lang w:val="es-MX"/>
        </w:rPr>
        <w:t> </w:t>
      </w:r>
      <w:hyperlink r:id="rId29" w:tgtFrame="_blank" w:history="1">
        <w:r w:rsidRPr="00403BD2">
          <w:rPr>
            <w:rStyle w:val="Hipervnculo"/>
            <w:rFonts w:ascii="Verdana" w:hAnsi="Verdana"/>
            <w:sz w:val="16"/>
            <w:szCs w:val="16"/>
            <w:lang w:val="es-MX"/>
          </w:rPr>
          <w:t>L. (Santa Fe) 13463</w:t>
        </w:r>
      </w:hyperlink>
      <w:r w:rsidRPr="00403BD2">
        <w:rPr>
          <w:rFonts w:ascii="Verdana" w:hAnsi="Verdana"/>
          <w:color w:val="000000"/>
          <w:sz w:val="16"/>
          <w:szCs w:val="16"/>
          <w:lang w:val="es-MX"/>
        </w:rPr>
        <w:t> [BO (Santa Fe): 23/1/2015]</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r w:rsidRPr="00403BD2">
        <w:rPr>
          <w:rFonts w:ascii="Verdana" w:hAnsi="Verdana"/>
          <w:b/>
          <w:bCs/>
          <w:color w:val="000000"/>
          <w:sz w:val="16"/>
          <w:szCs w:val="16"/>
          <w:lang w:val="es-MX"/>
        </w:rPr>
        <w:t>j) 6,5%</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i/>
          <w:iCs/>
          <w:color w:val="000000"/>
          <w:sz w:val="16"/>
          <w:szCs w:val="16"/>
          <w:lang w:val="es-MX"/>
        </w:rPr>
        <w:t>Retribuciones a emisores de tarjetas de créditos o compras.</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Servicios de agencia de cobro y calificación crediticia.</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Telefonía celular móvil (corresponde a los servicios establecidos por la R. 490/1997 de la Secretaría de Comunicaciones de la Nación).</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Servicios radioeléctricos de concentración de enlace (corresponde a los servicios establecidos por la R. 31/2011 de la Secretaría de Comunicaciones de la Nación).</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r w:rsidRPr="00403BD2">
        <w:rPr>
          <w:rFonts w:ascii="Verdana" w:hAnsi="Verdana"/>
          <w:b/>
          <w:bCs/>
          <w:i/>
          <w:iCs/>
          <w:color w:val="000000"/>
          <w:sz w:val="16"/>
          <w:szCs w:val="16"/>
          <w:lang w:val="es-MX"/>
        </w:rPr>
        <w:t>J bis) 8,5%</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i/>
          <w:iCs/>
          <w:color w:val="000000"/>
          <w:sz w:val="16"/>
          <w:szCs w:val="16"/>
          <w:lang w:val="es-MX"/>
        </w:rPr>
        <w:t>Préstamos de dinero, descuentos de documentos de terceros y demás operaciones financieras efectuadas por entidades no sujetas al Régimen de entidades Financieras, incluidas las casas de préstamos."</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b/>
          <w:bCs/>
          <w:color w:val="000000"/>
          <w:sz w:val="16"/>
          <w:szCs w:val="16"/>
          <w:lang w:val="es-MX"/>
        </w:rPr>
        <w:t>k) 10,5%</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Explotación de bingos y máquinas de azar automáticas.</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lastRenderedPageBreak/>
        <w:t>- Explotación de casinos, salas de juego y similares. Incluye las actividades reguladas por Ley N° 14.235."</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r w:rsidRPr="00403BD2">
        <w:rPr>
          <w:rFonts w:ascii="Verdana" w:hAnsi="Verdana"/>
          <w:b/>
          <w:bCs/>
          <w:color w:val="000000"/>
          <w:sz w:val="16"/>
          <w:szCs w:val="16"/>
          <w:lang w:val="es-MX"/>
        </w:rPr>
        <w:t>l) 15%</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 xml:space="preserve">Boîtes, cabarets, cafés </w:t>
      </w:r>
      <w:proofErr w:type="spellStart"/>
      <w:r w:rsidRPr="00403BD2">
        <w:rPr>
          <w:rFonts w:ascii="Verdana" w:hAnsi="Verdana"/>
          <w:color w:val="000000"/>
          <w:sz w:val="16"/>
          <w:szCs w:val="16"/>
          <w:lang w:val="es-MX"/>
        </w:rPr>
        <w:t>concerts</w:t>
      </w:r>
      <w:proofErr w:type="spellEnd"/>
      <w:r w:rsidRPr="00403BD2">
        <w:rPr>
          <w:rFonts w:ascii="Verdana" w:hAnsi="Verdana"/>
          <w:color w:val="000000"/>
          <w:sz w:val="16"/>
          <w:szCs w:val="16"/>
          <w:lang w:val="es-MX"/>
        </w:rPr>
        <w:t xml:space="preserve">, </w:t>
      </w:r>
      <w:proofErr w:type="spellStart"/>
      <w:r w:rsidRPr="00403BD2">
        <w:rPr>
          <w:rFonts w:ascii="Verdana" w:hAnsi="Verdana"/>
          <w:color w:val="000000"/>
          <w:sz w:val="16"/>
          <w:szCs w:val="16"/>
          <w:lang w:val="es-MX"/>
        </w:rPr>
        <w:t>dancings</w:t>
      </w:r>
      <w:proofErr w:type="spellEnd"/>
      <w:r w:rsidRPr="00403BD2">
        <w:rPr>
          <w:rFonts w:ascii="Verdana" w:hAnsi="Verdana"/>
          <w:color w:val="000000"/>
          <w:sz w:val="16"/>
          <w:szCs w:val="16"/>
          <w:lang w:val="es-MX"/>
        </w:rPr>
        <w:t xml:space="preserve">, </w:t>
      </w:r>
      <w:proofErr w:type="spellStart"/>
      <w:r w:rsidRPr="00403BD2">
        <w:rPr>
          <w:rFonts w:ascii="Verdana" w:hAnsi="Verdana"/>
          <w:color w:val="000000"/>
          <w:sz w:val="16"/>
          <w:szCs w:val="16"/>
          <w:lang w:val="es-MX"/>
        </w:rPr>
        <w:t>night</w:t>
      </w:r>
      <w:proofErr w:type="spellEnd"/>
      <w:r w:rsidRPr="00403BD2">
        <w:rPr>
          <w:rFonts w:ascii="Verdana" w:hAnsi="Verdana"/>
          <w:color w:val="000000"/>
          <w:sz w:val="16"/>
          <w:szCs w:val="16"/>
          <w:lang w:val="es-MX"/>
        </w:rPr>
        <w:t xml:space="preserve"> clubes, establecimientos análogos, cualquiera sea la denominación utilizada</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Casas de masajes y de baños</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Casas, sociedades o personas que compren o vendan pólizas de empeño, anuncien transacciones o adelanten dinero sobre ellas, por cuenta propia o de terceros</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Depositantes de dinero</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Exhibición de películas en salas condicionadas</w:t>
      </w:r>
    </w:p>
    <w:p w:rsidR="00403BD2" w:rsidRPr="00403BD2" w:rsidRDefault="00403BD2" w:rsidP="002F0E3F">
      <w:pPr>
        <w:pStyle w:val="sangrianovedades"/>
        <w:spacing w:before="0"/>
        <w:ind w:firstLine="270"/>
        <w:jc w:val="both"/>
        <w:rPr>
          <w:rFonts w:ascii="Verdana" w:hAnsi="Verdana"/>
          <w:color w:val="000000"/>
          <w:sz w:val="16"/>
          <w:szCs w:val="16"/>
          <w:lang w:val="es-MX"/>
        </w:rPr>
      </w:pPr>
      <w:r w:rsidRPr="00403BD2">
        <w:rPr>
          <w:rFonts w:ascii="Verdana" w:hAnsi="Verdana"/>
          <w:color w:val="000000"/>
          <w:sz w:val="16"/>
          <w:szCs w:val="16"/>
          <w:lang w:val="es-MX"/>
        </w:rPr>
        <w:t>Préstamos de dinero (con garantía hipotecaria, con garantía prendaria o sin garantía real) y descuentos de documentos de terceros, excluidas las actividades regidas por la ley de entidades financieras (prestamistas)</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i/>
          <w:iCs/>
          <w:color w:val="000000"/>
          <w:sz w:val="16"/>
          <w:szCs w:val="16"/>
          <w:lang w:val="es-MX"/>
        </w:rPr>
        <w:t>Venta de vehículos automotores nuevos (0 km) y maquinaria agrícola autopropulsada, máquinas viales, tractores y cosechadoras 0 km.</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r w:rsidRPr="00403BD2">
        <w:rPr>
          <w:rFonts w:ascii="Verdana" w:hAnsi="Verdana"/>
          <w:b/>
          <w:bCs/>
          <w:color w:val="000000"/>
          <w:sz w:val="16"/>
          <w:szCs w:val="16"/>
          <w:lang w:val="es-MX"/>
        </w:rPr>
        <w:t>m) Actividades especiales</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i/>
          <w:iCs/>
          <w:color w:val="000000"/>
          <w:sz w:val="16"/>
          <w:szCs w:val="16"/>
          <w:lang w:val="es-MX"/>
        </w:rPr>
        <w:t>La industrialización y expendio al público de combustibles líquidos y gas natural a que hace referencia la ley nacional 23966, tendrán las alícuotas que se detallan:</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0,50% (cincuenta centésimas por ciento)</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Industrialización de combustibles líquidos y gas natural sin expendio al público</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3,50% (tres con cincuenta centésimos por ciento)</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Industrialización de combustibles líquidos y gas natural con expendio al público</w:t>
      </w:r>
    </w:p>
    <w:p w:rsidR="00403BD2" w:rsidRPr="00403BD2" w:rsidRDefault="00403BD2" w:rsidP="002F0E3F">
      <w:pPr>
        <w:pStyle w:val="sangrianovedades"/>
        <w:spacing w:before="0"/>
        <w:ind w:left="105" w:right="105" w:firstLine="270"/>
        <w:jc w:val="both"/>
        <w:rPr>
          <w:rFonts w:ascii="Verdana" w:hAnsi="Verdana"/>
          <w:color w:val="000000"/>
          <w:sz w:val="16"/>
          <w:szCs w:val="16"/>
          <w:lang w:val="es-MX"/>
        </w:rPr>
      </w:pPr>
      <w:r w:rsidRPr="00403BD2">
        <w:rPr>
          <w:rFonts w:ascii="Verdana" w:hAnsi="Verdana"/>
          <w:color w:val="000000"/>
          <w:sz w:val="16"/>
          <w:szCs w:val="16"/>
          <w:lang w:val="es-MX"/>
        </w:rPr>
        <w:t>3% (tres por ciento)</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Expendio al público de combustibles líquidos y gas natural</w:t>
      </w:r>
    </w:p>
    <w:p w:rsidR="00403BD2" w:rsidRPr="00403BD2" w:rsidRDefault="00403BD2" w:rsidP="002F0E3F">
      <w:pPr>
        <w:pStyle w:val="sangrianovedades"/>
        <w:spacing w:before="0"/>
        <w:ind w:left="105" w:right="105" w:firstLine="270"/>
        <w:jc w:val="both"/>
        <w:rPr>
          <w:rFonts w:ascii="Verdana" w:hAnsi="Verdana"/>
          <w:color w:val="000000"/>
          <w:sz w:val="16"/>
          <w:szCs w:val="16"/>
          <w:lang w:val="es-MX"/>
        </w:rPr>
      </w:pPr>
      <w:r w:rsidRPr="00403BD2">
        <w:rPr>
          <w:rFonts w:ascii="Verdana" w:hAnsi="Verdana"/>
          <w:color w:val="000000"/>
          <w:sz w:val="16"/>
          <w:szCs w:val="16"/>
          <w:lang w:val="es-MX"/>
        </w:rPr>
        <w:t>0,50% (cincuenta centésimas por ciento)</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i/>
          <w:iCs/>
          <w:color w:val="000000"/>
          <w:sz w:val="16"/>
          <w:szCs w:val="16"/>
          <w:lang w:val="es-MX"/>
        </w:rPr>
        <w:t>- Comercialización mayorista de combustibles líquidos.</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8509C">
      <w:pPr>
        <w:pStyle w:val="sangrianovedades"/>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r w:rsidRPr="00403BD2">
        <w:rPr>
          <w:rFonts w:ascii="Verdana" w:hAnsi="Verdana"/>
          <w:b/>
          <w:bCs/>
          <w:color w:val="000000"/>
          <w:sz w:val="16"/>
          <w:szCs w:val="16"/>
          <w:lang w:val="es-MX"/>
        </w:rPr>
        <w:t>n) Operaciones efectuadas por bancos y entidades financieras</w:t>
      </w:r>
      <w:hyperlink r:id="rId30" w:anchor="q3" w:tgtFrame="_self" w:history="1">
        <w:r w:rsidRPr="00403BD2">
          <w:rPr>
            <w:rStyle w:val="Hipervnculo"/>
            <w:rFonts w:ascii="Verdana" w:hAnsi="Verdana"/>
            <w:sz w:val="16"/>
            <w:szCs w:val="16"/>
            <w:lang w:val="es-MX"/>
          </w:rPr>
          <w:t>(3)</w:t>
        </w:r>
      </w:hyperlink>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Préstamos de dinero, descuentos de documentos de terceros y demás operaciones efectuadas por los bancos y otras instituciones financieras comprendidas en la Ley Nacional N° 21.526 y sus modificatorias y para operaciones celebradas en dichas entidades financieras que tienen por objeto la constitución de leasing.</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Servicios de la banca central (6411)</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lastRenderedPageBreak/>
        <w:t>Servicios de las entidades financieras bancarias (6419)</w:t>
      </w:r>
    </w:p>
    <w:p w:rsidR="00403BD2" w:rsidRPr="00403BD2" w:rsidRDefault="002F0E3F" w:rsidP="002F0E3F">
      <w:pPr>
        <w:pStyle w:val="sangrianovedades"/>
        <w:ind w:left="105" w:firstLine="270"/>
        <w:jc w:val="both"/>
        <w:rPr>
          <w:rFonts w:ascii="Verdana" w:hAnsi="Verdana"/>
          <w:color w:val="000000"/>
          <w:sz w:val="16"/>
          <w:szCs w:val="16"/>
          <w:lang w:val="es-MX"/>
        </w:rPr>
      </w:pPr>
      <w:hyperlink r:id="rId31" w:anchor="q1" w:tgtFrame="_self" w:history="1">
        <w:r w:rsidR="00403BD2" w:rsidRPr="00403BD2">
          <w:rPr>
            <w:rStyle w:val="Hipervnculo"/>
            <w:rFonts w:ascii="Verdana" w:hAnsi="Verdana"/>
            <w:sz w:val="16"/>
            <w:szCs w:val="16"/>
            <w:lang w:val="es-MX"/>
          </w:rPr>
          <w:t>(1)</w:t>
        </w:r>
      </w:hyperlink>
      <w:r w:rsidR="00403BD2" w:rsidRPr="00403BD2">
        <w:rPr>
          <w:rFonts w:ascii="Verdana" w:hAnsi="Verdana"/>
          <w:color w:val="000000"/>
          <w:sz w:val="16"/>
          <w:szCs w:val="16"/>
          <w:lang w:val="es-MX"/>
        </w:rPr>
        <w:t>Del seis con veinticinco por ciento (6,25%): Cuando el total de la suma del haber de las cuentas de resultados resulte inferior o igual a la suma de pesos setenta mil millones ($ 70.000.000.000).</w:t>
      </w:r>
    </w:p>
    <w:p w:rsidR="00403BD2" w:rsidRPr="00403BD2" w:rsidRDefault="002F0E3F" w:rsidP="002F0E3F">
      <w:pPr>
        <w:pStyle w:val="sangrianovedades"/>
        <w:ind w:left="105" w:firstLine="270"/>
        <w:jc w:val="both"/>
        <w:rPr>
          <w:rFonts w:ascii="Verdana" w:hAnsi="Verdana"/>
          <w:color w:val="000000"/>
          <w:sz w:val="16"/>
          <w:szCs w:val="16"/>
          <w:lang w:val="es-MX"/>
        </w:rPr>
      </w:pPr>
      <w:hyperlink r:id="rId32" w:anchor="q1" w:tgtFrame="_self" w:history="1">
        <w:r w:rsidR="00403BD2" w:rsidRPr="00403BD2">
          <w:rPr>
            <w:rStyle w:val="Hipervnculo"/>
            <w:rFonts w:ascii="Verdana" w:hAnsi="Verdana"/>
            <w:sz w:val="16"/>
            <w:szCs w:val="16"/>
            <w:lang w:val="es-MX"/>
          </w:rPr>
          <w:t>(1)</w:t>
        </w:r>
      </w:hyperlink>
      <w:r w:rsidR="00403BD2" w:rsidRPr="00403BD2">
        <w:rPr>
          <w:rFonts w:ascii="Verdana" w:hAnsi="Verdana"/>
          <w:color w:val="000000"/>
          <w:sz w:val="16"/>
          <w:szCs w:val="16"/>
          <w:lang w:val="es-MX"/>
        </w:rPr>
        <w:t>Del nueve por ciento (9%): Cuando el total de la suma del haber de las cuentas de resultados resulte superior a la suma indicada en el apartado anterior.</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xml:space="preserve">A los efectos de establecer el parámetro referido se deberá considerar el total de las sumas del haber de las cuentas de resultados que constituyen los ingresos brutos totales, cualquiera sea su denominación, obtenidos en todas las jurisdicciones en que opera la </w:t>
      </w:r>
      <w:proofErr w:type="gramStart"/>
      <w:r w:rsidRPr="00403BD2">
        <w:rPr>
          <w:rFonts w:ascii="Verdana" w:hAnsi="Verdana"/>
          <w:color w:val="000000"/>
          <w:sz w:val="16"/>
          <w:szCs w:val="16"/>
          <w:lang w:val="es-MX"/>
        </w:rPr>
        <w:t>entidad correspondientes</w:t>
      </w:r>
      <w:proofErr w:type="gramEnd"/>
      <w:r w:rsidRPr="00403BD2">
        <w:rPr>
          <w:rFonts w:ascii="Verdana" w:hAnsi="Verdana"/>
          <w:color w:val="000000"/>
          <w:sz w:val="16"/>
          <w:szCs w:val="16"/>
          <w:lang w:val="es-MX"/>
        </w:rPr>
        <w:t xml:space="preserve"> al año calendario anterior al considerado.</w:t>
      </w:r>
    </w:p>
    <w:p w:rsidR="00403BD2" w:rsidRPr="00403BD2" w:rsidRDefault="00403BD2" w:rsidP="0028509C">
      <w:pPr>
        <w:pStyle w:val="sangrianovedades"/>
        <w:pBdr>
          <w:bottom w:val="single" w:sz="4" w:space="1" w:color="auto"/>
        </w:pBdr>
        <w:spacing w:before="0" w:after="0"/>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b/>
          <w:bCs/>
          <w:color w:val="000000"/>
          <w:sz w:val="16"/>
          <w:szCs w:val="16"/>
          <w:lang w:val="es-MX"/>
        </w:rPr>
        <w:t>ñ)</w:t>
      </w:r>
      <w:r w:rsidRPr="00403BD2">
        <w:rPr>
          <w:rFonts w:ascii="Verdana" w:hAnsi="Verdana"/>
          <w:color w:val="000000"/>
          <w:sz w:val="16"/>
          <w:szCs w:val="16"/>
          <w:lang w:val="es-MX"/>
        </w:rPr>
        <w:t> Los préstamos de dinero efectuados por sujetos que desarrollen actividad industrial, destinados a sus proveedores y al efecto de financiar su propia producción, en tanto la totalidad de los ingresos por tal concepto no exceda el equivalente al 5% del monto declarado para aquella actividad tendrán las alícuotas que a continuación se detallan:</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color w:val="000000"/>
          <w:sz w:val="16"/>
          <w:szCs w:val="16"/>
          <w:lang w:val="es-MX"/>
        </w:rPr>
        <w:t>Del </w:t>
      </w:r>
      <w:r w:rsidRPr="00403BD2">
        <w:rPr>
          <w:rFonts w:ascii="Verdana" w:hAnsi="Verdana"/>
          <w:b/>
          <w:bCs/>
          <w:i/>
          <w:iCs/>
          <w:color w:val="000000"/>
          <w:sz w:val="16"/>
          <w:szCs w:val="16"/>
          <w:lang w:val="es-MX"/>
        </w:rPr>
        <w:t>6,30%</w:t>
      </w:r>
      <w:r w:rsidRPr="00403BD2">
        <w:rPr>
          <w:rFonts w:ascii="Verdana" w:hAnsi="Verdana"/>
          <w:i/>
          <w:iCs/>
          <w:color w:val="000000"/>
          <w:sz w:val="16"/>
          <w:szCs w:val="16"/>
          <w:lang w:val="es-MX"/>
        </w:rPr>
        <w:t>:</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Cuando los ingresos brutos atribuibles a la Provincia de Santa Fe representen más del 20% de los ingresos brutos total país en el ejercicio fiscal inmediato anterior al considerado.</w:t>
      </w:r>
    </w:p>
    <w:p w:rsidR="00403BD2" w:rsidRPr="00403BD2" w:rsidRDefault="00403BD2" w:rsidP="002F0E3F">
      <w:pPr>
        <w:pStyle w:val="sangrianovedades"/>
        <w:ind w:left="105" w:firstLine="270"/>
        <w:jc w:val="both"/>
        <w:rPr>
          <w:rFonts w:ascii="Verdana" w:hAnsi="Verdana"/>
          <w:color w:val="000000"/>
          <w:sz w:val="16"/>
          <w:szCs w:val="16"/>
          <w:lang w:val="es-MX"/>
        </w:rPr>
      </w:pPr>
      <w:r w:rsidRPr="00403BD2">
        <w:rPr>
          <w:rFonts w:ascii="Verdana" w:hAnsi="Verdana"/>
          <w:color w:val="000000"/>
          <w:sz w:val="16"/>
          <w:szCs w:val="16"/>
          <w:lang w:val="es-MX"/>
        </w:rPr>
        <w:t>Del </w:t>
      </w:r>
      <w:r w:rsidRPr="00403BD2">
        <w:rPr>
          <w:rFonts w:ascii="Verdana" w:hAnsi="Verdana"/>
          <w:b/>
          <w:bCs/>
          <w:i/>
          <w:iCs/>
          <w:color w:val="000000"/>
          <w:sz w:val="16"/>
          <w:szCs w:val="16"/>
          <w:lang w:val="es-MX"/>
        </w:rPr>
        <w:t>7%</w:t>
      </w:r>
      <w:r w:rsidRPr="00403BD2">
        <w:rPr>
          <w:rFonts w:ascii="Verdana" w:hAnsi="Verdana"/>
          <w:i/>
          <w:iCs/>
          <w:color w:val="000000"/>
          <w:sz w:val="16"/>
          <w:szCs w:val="16"/>
          <w:lang w:val="es-MX"/>
        </w:rPr>
        <w:t>:</w:t>
      </w:r>
    </w:p>
    <w:p w:rsidR="00403BD2" w:rsidRPr="00403BD2" w:rsidRDefault="00403BD2" w:rsidP="002F0E3F">
      <w:pPr>
        <w:pStyle w:val="sangrianovedades"/>
        <w:spacing w:before="0"/>
        <w:ind w:left="105" w:firstLine="270"/>
        <w:jc w:val="both"/>
        <w:rPr>
          <w:rFonts w:ascii="Verdana" w:hAnsi="Verdana"/>
          <w:color w:val="000000"/>
          <w:sz w:val="16"/>
          <w:szCs w:val="16"/>
          <w:lang w:val="es-MX"/>
        </w:rPr>
      </w:pPr>
      <w:r w:rsidRPr="00403BD2">
        <w:rPr>
          <w:rFonts w:ascii="Verdana" w:hAnsi="Verdana"/>
          <w:color w:val="000000"/>
          <w:sz w:val="16"/>
          <w:szCs w:val="16"/>
          <w:lang w:val="es-MX"/>
        </w:rPr>
        <w:t>- Cuando los ingresos brutos atribuibles a la Provincia de Santa Fe representen el 20% o un porcentaje inferior de los ingresos brutos total país en el ejercicio fiscal inmediato anterior al considerado.</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color w:val="000000"/>
          <w:sz w:val="16"/>
          <w:szCs w:val="16"/>
          <w:lang w:val="es-MX"/>
        </w:rPr>
        <w:t> </w:t>
      </w:r>
    </w:p>
    <w:p w:rsidR="00403BD2" w:rsidRPr="00403BD2" w:rsidRDefault="00403BD2" w:rsidP="002F0E3F">
      <w:pPr>
        <w:pStyle w:val="sangrianovedades"/>
        <w:spacing w:before="0"/>
        <w:ind w:firstLine="270"/>
        <w:jc w:val="both"/>
        <w:rPr>
          <w:rFonts w:ascii="Verdana" w:hAnsi="Verdana"/>
          <w:b/>
          <w:bCs/>
          <w:color w:val="000000"/>
          <w:sz w:val="16"/>
          <w:szCs w:val="16"/>
          <w:lang w:val="es-MX"/>
        </w:rPr>
      </w:pPr>
      <w:r w:rsidRPr="00403BD2">
        <w:rPr>
          <w:rFonts w:ascii="Verdana" w:hAnsi="Verdana"/>
          <w:b/>
          <w:bCs/>
          <w:color w:val="000000"/>
          <w:sz w:val="16"/>
          <w:szCs w:val="16"/>
          <w:lang w:val="es-MX"/>
        </w:rPr>
        <w:t>Notas:</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color w:val="000000"/>
          <w:sz w:val="16"/>
          <w:szCs w:val="16"/>
          <w:lang w:val="es-MX"/>
        </w:rPr>
        <w:t>(1) A través de la </w:t>
      </w:r>
      <w:hyperlink r:id="rId33" w:tgtFrame="_blank" w:history="1">
        <w:r w:rsidRPr="00403BD2">
          <w:rPr>
            <w:rStyle w:val="Hipervnculo"/>
            <w:rFonts w:ascii="Verdana" w:hAnsi="Verdana"/>
            <w:sz w:val="16"/>
            <w:szCs w:val="16"/>
            <w:lang w:val="es-MX"/>
          </w:rPr>
          <w:t>RG (API Santa Fe) 3/2020</w:t>
        </w:r>
      </w:hyperlink>
      <w:r w:rsidRPr="00403BD2">
        <w:rPr>
          <w:rFonts w:ascii="Verdana" w:hAnsi="Verdana"/>
          <w:color w:val="000000"/>
          <w:sz w:val="16"/>
          <w:szCs w:val="16"/>
          <w:lang w:val="es-MX"/>
        </w:rPr>
        <w:t> se establece que para establecer los parámetros referidos, se deberá considerar el total de las sumas del haber de las cuentas de resultados que constituyen ingresos brutos totales, cualquiera sea su denominación, obtenidos en todas las jurisdicciones en que opera la entidad correspondientes al año calendario anterior al considerado</w:t>
      </w:r>
    </w:p>
    <w:p w:rsidR="00403BD2" w:rsidRPr="00403BD2" w:rsidRDefault="00403BD2" w:rsidP="002F0E3F">
      <w:pPr>
        <w:pStyle w:val="sangrianovedades"/>
        <w:ind w:firstLine="270"/>
        <w:jc w:val="both"/>
        <w:rPr>
          <w:rFonts w:ascii="Verdana" w:hAnsi="Verdana"/>
          <w:color w:val="000000"/>
          <w:sz w:val="16"/>
          <w:szCs w:val="16"/>
          <w:lang w:val="es-MX"/>
        </w:rPr>
      </w:pPr>
      <w:r w:rsidRPr="00403BD2">
        <w:rPr>
          <w:rFonts w:ascii="Verdana" w:hAnsi="Verdana"/>
          <w:color w:val="000000"/>
          <w:sz w:val="16"/>
          <w:szCs w:val="16"/>
          <w:lang w:val="es-MX"/>
        </w:rPr>
        <w:t>(2) Acuerdo aprobado mediante la </w:t>
      </w:r>
      <w:hyperlink r:id="rId34" w:tgtFrame="_blank" w:history="1">
        <w:r w:rsidRPr="00403BD2">
          <w:rPr>
            <w:rStyle w:val="Hipervnculo"/>
            <w:rFonts w:ascii="Verdana" w:hAnsi="Verdana"/>
            <w:sz w:val="16"/>
            <w:szCs w:val="16"/>
            <w:lang w:val="es-MX"/>
          </w:rPr>
          <w:t>ley 27687</w:t>
        </w:r>
      </w:hyperlink>
      <w:r w:rsidRPr="00403BD2">
        <w:rPr>
          <w:rFonts w:ascii="Verdana" w:hAnsi="Verdana"/>
          <w:color w:val="000000"/>
          <w:sz w:val="16"/>
          <w:szCs w:val="16"/>
          <w:lang w:val="es-MX"/>
        </w:rPr>
        <w:t>, publicada en el BO: 4/10/2022</w:t>
      </w:r>
    </w:p>
    <w:p w:rsidR="00403BD2" w:rsidRPr="00403BD2" w:rsidRDefault="00403BD2" w:rsidP="002F0E3F">
      <w:pPr>
        <w:pStyle w:val="sangrianovedades"/>
        <w:ind w:firstLine="270"/>
        <w:jc w:val="both"/>
        <w:rPr>
          <w:rFonts w:ascii="Verdana" w:hAnsi="Verdana"/>
          <w:color w:val="000000"/>
          <w:sz w:val="16"/>
          <w:szCs w:val="16"/>
          <w:lang w:val="es-MX"/>
        </w:rPr>
      </w:pPr>
      <w:bookmarkStart w:id="1" w:name="q3"/>
      <w:bookmarkEnd w:id="1"/>
      <w:r w:rsidRPr="00403BD2">
        <w:rPr>
          <w:rFonts w:ascii="Verdana" w:hAnsi="Verdana"/>
          <w:color w:val="000000"/>
          <w:sz w:val="16"/>
          <w:szCs w:val="16"/>
          <w:lang w:val="es-MX"/>
        </w:rPr>
        <w:t>(3) Mediante el </w:t>
      </w:r>
      <w:hyperlink r:id="rId35" w:anchor="Art_13" w:tgtFrame="_blank" w:history="1">
        <w:r w:rsidRPr="00403BD2">
          <w:rPr>
            <w:rStyle w:val="Hipervnculo"/>
            <w:rFonts w:ascii="Verdana" w:hAnsi="Verdana"/>
            <w:sz w:val="16"/>
            <w:szCs w:val="16"/>
            <w:lang w:val="es-MX"/>
          </w:rPr>
          <w:t>art. 13 de la ley (PE Santa Fe) 14244</w:t>
        </w:r>
      </w:hyperlink>
      <w:r w:rsidRPr="00403BD2">
        <w:rPr>
          <w:rFonts w:ascii="Verdana" w:hAnsi="Verdana"/>
          <w:color w:val="000000"/>
          <w:sz w:val="16"/>
          <w:szCs w:val="16"/>
          <w:lang w:val="es-MX"/>
        </w:rPr>
        <w:t xml:space="preserve"> se establece que para el periodo fiscal 2024 las entidades del inciso n) del artículo 7 de la Ley Impositiva Anual podrán deducir, en la misma proporción de la base imponible atribuida a la Jurisdicción Santa Fe, los intereses percibidos por préstamos o asistencia financiera que encuadren en las pautas del Programa de Financiamiento a </w:t>
      </w:r>
      <w:proofErr w:type="spellStart"/>
      <w:r w:rsidRPr="00403BD2">
        <w:rPr>
          <w:rFonts w:ascii="Verdana" w:hAnsi="Verdana"/>
          <w:color w:val="000000"/>
          <w:sz w:val="16"/>
          <w:szCs w:val="16"/>
          <w:lang w:val="es-MX"/>
        </w:rPr>
        <w:t>PyMES</w:t>
      </w:r>
      <w:proofErr w:type="spellEnd"/>
      <w:r w:rsidRPr="00403BD2">
        <w:rPr>
          <w:rFonts w:ascii="Verdana" w:hAnsi="Verdana"/>
          <w:color w:val="000000"/>
          <w:sz w:val="16"/>
          <w:szCs w:val="16"/>
          <w:lang w:val="es-MX"/>
        </w:rPr>
        <w:t xml:space="preserve"> y Productores santafesinos que establezca el Ministerio de Desarrollo Productivo de la Provincia de Santa Fe y/o a asistencia financiera al sector público provincial de Santa Fe y/o a asistencia financiera a municipios o comunas de dicha Provincia</w:t>
      </w:r>
    </w:p>
    <w:sectPr w:rsidR="00403BD2" w:rsidRPr="00403BD2" w:rsidSect="00777237">
      <w:headerReference w:type="default" r:id="rId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E3F" w:rsidRDefault="002F0E3F" w:rsidP="00F44C94">
      <w:pPr>
        <w:spacing w:after="0" w:line="240" w:lineRule="auto"/>
      </w:pPr>
      <w:r>
        <w:separator/>
      </w:r>
    </w:p>
  </w:endnote>
  <w:endnote w:type="continuationSeparator" w:id="0">
    <w:p w:rsidR="002F0E3F" w:rsidRDefault="002F0E3F" w:rsidP="00F4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E3F" w:rsidRDefault="002F0E3F" w:rsidP="00F44C94">
      <w:pPr>
        <w:spacing w:after="0" w:line="240" w:lineRule="auto"/>
      </w:pPr>
      <w:r>
        <w:separator/>
      </w:r>
    </w:p>
  </w:footnote>
  <w:footnote w:type="continuationSeparator" w:id="0">
    <w:p w:rsidR="002F0E3F" w:rsidRDefault="002F0E3F" w:rsidP="00F4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3F" w:rsidRPr="00BE427C" w:rsidRDefault="002F0E3F" w:rsidP="00F44C94">
    <w:pPr>
      <w:pBdr>
        <w:bottom w:val="single" w:sz="12" w:space="1" w:color="000080"/>
      </w:pBdr>
      <w:tabs>
        <w:tab w:val="center" w:pos="4252"/>
        <w:tab w:val="right" w:pos="8504"/>
      </w:tabs>
      <w:spacing w:after="0" w:line="240" w:lineRule="auto"/>
      <w:jc w:val="right"/>
      <w:rPr>
        <w:rFonts w:ascii="Times New Roman" w:eastAsia="Times New Roman" w:hAnsi="Times New Roman"/>
        <w:b/>
        <w:color w:val="000080"/>
        <w:sz w:val="24"/>
        <w:szCs w:val="20"/>
        <w:lang w:val="en-GB" w:eastAsia="es-AR"/>
      </w:rPr>
    </w:pPr>
    <w:r w:rsidRPr="00BE427C">
      <w:rPr>
        <w:rFonts w:ascii="Times New Roman" w:eastAsia="Times New Roman" w:hAnsi="Times New Roman"/>
        <w:b/>
        <w:color w:val="000080"/>
        <w:sz w:val="24"/>
        <w:szCs w:val="20"/>
        <w:lang w:val="en-GB" w:eastAsia="es-AR"/>
      </w:rPr>
      <w:t>FABETTI - BERTANI &amp; ASOC.</w:t>
    </w:r>
  </w:p>
  <w:p w:rsidR="002F0E3F" w:rsidRDefault="002F0E3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5EB8"/>
    <w:multiLevelType w:val="hybridMultilevel"/>
    <w:tmpl w:val="51020988"/>
    <w:lvl w:ilvl="0" w:tplc="2C0A000D">
      <w:start w:val="1"/>
      <w:numFmt w:val="bullet"/>
      <w:lvlText w:val=""/>
      <w:lvlJc w:val="left"/>
      <w:pPr>
        <w:ind w:left="720" w:hanging="360"/>
      </w:pPr>
      <w:rPr>
        <w:rFonts w:ascii="Wingdings" w:hAnsi="Wingdings" w:hint="default"/>
      </w:rPr>
    </w:lvl>
    <w:lvl w:ilvl="1" w:tplc="0C0A0001">
      <w:start w:val="1"/>
      <w:numFmt w:val="bullet"/>
      <w:lvlText w:val=""/>
      <w:lvlJc w:val="left"/>
      <w:pPr>
        <w:ind w:left="1778" w:hanging="360"/>
      </w:pPr>
      <w:rPr>
        <w:rFonts w:ascii="Symbol" w:hAnsi="Symbol" w:hint="default"/>
      </w:rPr>
    </w:lvl>
    <w:lvl w:ilvl="2" w:tplc="0C0A0001">
      <w:start w:val="1"/>
      <w:numFmt w:val="bullet"/>
      <w:lvlText w:val=""/>
      <w:lvlJc w:val="left"/>
      <w:pPr>
        <w:ind w:left="1778" w:hanging="360"/>
      </w:pPr>
      <w:rPr>
        <w:rFonts w:ascii="Symbol" w:hAnsi="Symbo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E205E6"/>
    <w:multiLevelType w:val="hybridMultilevel"/>
    <w:tmpl w:val="BCBE5928"/>
    <w:lvl w:ilvl="0" w:tplc="D2B28DC6">
      <w:start w:val="1"/>
      <w:numFmt w:val="bullet"/>
      <w:lvlText w:val=""/>
      <w:lvlJc w:val="left"/>
      <w:pPr>
        <w:ind w:left="1069" w:hanging="360"/>
      </w:pPr>
      <w:rPr>
        <w:rFonts w:ascii="Wingdings" w:hAnsi="Wingdings" w:hint="default"/>
        <w:b/>
        <w:sz w:val="24"/>
        <w:szCs w:val="24"/>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1D032E96"/>
    <w:multiLevelType w:val="hybridMultilevel"/>
    <w:tmpl w:val="F962B5D8"/>
    <w:lvl w:ilvl="0" w:tplc="0C0A0017">
      <w:start w:val="1"/>
      <w:numFmt w:val="lowerLetter"/>
      <w:lvlText w:val="%1)"/>
      <w:lvlJc w:val="left"/>
      <w:pPr>
        <w:ind w:left="1211"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E5318FC"/>
    <w:multiLevelType w:val="hybridMultilevel"/>
    <w:tmpl w:val="4E44F0EA"/>
    <w:lvl w:ilvl="0" w:tplc="0C0A0017">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15:restartNumberingAfterBreak="0">
    <w:nsid w:val="1FD31CDA"/>
    <w:multiLevelType w:val="hybridMultilevel"/>
    <w:tmpl w:val="FD5C5100"/>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 w15:restartNumberingAfterBreak="0">
    <w:nsid w:val="241153DB"/>
    <w:multiLevelType w:val="hybridMultilevel"/>
    <w:tmpl w:val="FA72A682"/>
    <w:lvl w:ilvl="0" w:tplc="FD2878B6">
      <w:start w:val="1"/>
      <w:numFmt w:val="bullet"/>
      <w:lvlText w:val=""/>
      <w:lvlJc w:val="left"/>
      <w:pPr>
        <w:ind w:left="927" w:hanging="360"/>
      </w:pPr>
      <w:rPr>
        <w:rFonts w:ascii="Wingdings" w:hAnsi="Wingdings"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B040E4"/>
    <w:multiLevelType w:val="hybridMultilevel"/>
    <w:tmpl w:val="E940E97E"/>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ED21FA"/>
    <w:multiLevelType w:val="hybridMultilevel"/>
    <w:tmpl w:val="37B21F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C20F7"/>
    <w:multiLevelType w:val="hybridMultilevel"/>
    <w:tmpl w:val="3CCCBE80"/>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9" w15:restartNumberingAfterBreak="0">
    <w:nsid w:val="3F4B5AD9"/>
    <w:multiLevelType w:val="hybridMultilevel"/>
    <w:tmpl w:val="5F5EF9A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426D013A"/>
    <w:multiLevelType w:val="hybridMultilevel"/>
    <w:tmpl w:val="D7FA14CA"/>
    <w:lvl w:ilvl="0" w:tplc="0C0A0017">
      <w:start w:val="1"/>
      <w:numFmt w:val="lowerLetter"/>
      <w:lvlText w:val="%1)"/>
      <w:lvlJc w:val="left"/>
      <w:pPr>
        <w:ind w:left="1353" w:hanging="360"/>
      </w:pPr>
    </w:lvl>
    <w:lvl w:ilvl="1" w:tplc="0C0A0017">
      <w:start w:val="1"/>
      <w:numFmt w:val="lowerLetter"/>
      <w:lvlText w:val="%2)"/>
      <w:lvlJc w:val="left"/>
      <w:pPr>
        <w:ind w:left="2433" w:hanging="720"/>
      </w:pPr>
      <w:rPr>
        <w:rFonts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 w15:restartNumberingAfterBreak="0">
    <w:nsid w:val="42FB486C"/>
    <w:multiLevelType w:val="hybridMultilevel"/>
    <w:tmpl w:val="1CE835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C8158A"/>
    <w:multiLevelType w:val="hybridMultilevel"/>
    <w:tmpl w:val="AA6C6D00"/>
    <w:lvl w:ilvl="0" w:tplc="0C0A0017">
      <w:start w:val="1"/>
      <w:numFmt w:val="lowerLetter"/>
      <w:lvlText w:val="%1)"/>
      <w:lvlJc w:val="left"/>
      <w:pPr>
        <w:ind w:left="1353" w:hanging="360"/>
      </w:p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 w15:restartNumberingAfterBreak="0">
    <w:nsid w:val="4D586F52"/>
    <w:multiLevelType w:val="hybridMultilevel"/>
    <w:tmpl w:val="8F902422"/>
    <w:lvl w:ilvl="0" w:tplc="0C0A0017">
      <w:start w:val="1"/>
      <w:numFmt w:val="lowerLetter"/>
      <w:lvlText w:val="%1)"/>
      <w:lvlJc w:val="left"/>
      <w:pPr>
        <w:ind w:left="1620" w:hanging="360"/>
      </w:p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14" w15:restartNumberingAfterBreak="0">
    <w:nsid w:val="4EE97C1E"/>
    <w:multiLevelType w:val="hybridMultilevel"/>
    <w:tmpl w:val="B5DC42E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51DB7582"/>
    <w:multiLevelType w:val="hybridMultilevel"/>
    <w:tmpl w:val="99DC1D42"/>
    <w:lvl w:ilvl="0" w:tplc="0C0A0017">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 w15:restartNumberingAfterBreak="0">
    <w:nsid w:val="53F22DCC"/>
    <w:multiLevelType w:val="hybridMultilevel"/>
    <w:tmpl w:val="C324F1AC"/>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0D712D"/>
    <w:multiLevelType w:val="hybridMultilevel"/>
    <w:tmpl w:val="A6160F4A"/>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8" w15:restartNumberingAfterBreak="0">
    <w:nsid w:val="57D96F51"/>
    <w:multiLevelType w:val="hybridMultilevel"/>
    <w:tmpl w:val="A120C66A"/>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8E66F9"/>
    <w:multiLevelType w:val="hybridMultilevel"/>
    <w:tmpl w:val="7B4CB9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F4F22F5"/>
    <w:multiLevelType w:val="hybridMultilevel"/>
    <w:tmpl w:val="4712D4E0"/>
    <w:lvl w:ilvl="0" w:tplc="3B8AAC06">
      <w:start w:val="1"/>
      <w:numFmt w:val="lowerLetter"/>
      <w:lvlText w:val="%1)"/>
      <w:lvlJc w:val="left"/>
      <w:pPr>
        <w:ind w:left="1458" w:hanging="360"/>
      </w:pPr>
      <w:rPr>
        <w:b w:val="0"/>
      </w:rPr>
    </w:lvl>
    <w:lvl w:ilvl="1" w:tplc="0C0A0019" w:tentative="1">
      <w:start w:val="1"/>
      <w:numFmt w:val="lowerLetter"/>
      <w:lvlText w:val="%2."/>
      <w:lvlJc w:val="left"/>
      <w:pPr>
        <w:ind w:left="1545" w:hanging="360"/>
      </w:pPr>
    </w:lvl>
    <w:lvl w:ilvl="2" w:tplc="0C0A001B" w:tentative="1">
      <w:start w:val="1"/>
      <w:numFmt w:val="lowerRoman"/>
      <w:lvlText w:val="%3."/>
      <w:lvlJc w:val="right"/>
      <w:pPr>
        <w:ind w:left="2265" w:hanging="180"/>
      </w:pPr>
    </w:lvl>
    <w:lvl w:ilvl="3" w:tplc="0C0A000F" w:tentative="1">
      <w:start w:val="1"/>
      <w:numFmt w:val="decimal"/>
      <w:lvlText w:val="%4."/>
      <w:lvlJc w:val="left"/>
      <w:pPr>
        <w:ind w:left="2985" w:hanging="360"/>
      </w:pPr>
    </w:lvl>
    <w:lvl w:ilvl="4" w:tplc="0C0A0019" w:tentative="1">
      <w:start w:val="1"/>
      <w:numFmt w:val="lowerLetter"/>
      <w:lvlText w:val="%5."/>
      <w:lvlJc w:val="left"/>
      <w:pPr>
        <w:ind w:left="3705" w:hanging="360"/>
      </w:pPr>
    </w:lvl>
    <w:lvl w:ilvl="5" w:tplc="0C0A001B" w:tentative="1">
      <w:start w:val="1"/>
      <w:numFmt w:val="lowerRoman"/>
      <w:lvlText w:val="%6."/>
      <w:lvlJc w:val="right"/>
      <w:pPr>
        <w:ind w:left="4425" w:hanging="180"/>
      </w:pPr>
    </w:lvl>
    <w:lvl w:ilvl="6" w:tplc="0C0A000F" w:tentative="1">
      <w:start w:val="1"/>
      <w:numFmt w:val="decimal"/>
      <w:lvlText w:val="%7."/>
      <w:lvlJc w:val="left"/>
      <w:pPr>
        <w:ind w:left="5145" w:hanging="360"/>
      </w:pPr>
    </w:lvl>
    <w:lvl w:ilvl="7" w:tplc="0C0A0019" w:tentative="1">
      <w:start w:val="1"/>
      <w:numFmt w:val="lowerLetter"/>
      <w:lvlText w:val="%8."/>
      <w:lvlJc w:val="left"/>
      <w:pPr>
        <w:ind w:left="5865" w:hanging="360"/>
      </w:pPr>
    </w:lvl>
    <w:lvl w:ilvl="8" w:tplc="0C0A001B" w:tentative="1">
      <w:start w:val="1"/>
      <w:numFmt w:val="lowerRoman"/>
      <w:lvlText w:val="%9."/>
      <w:lvlJc w:val="right"/>
      <w:pPr>
        <w:ind w:left="6585" w:hanging="180"/>
      </w:pPr>
    </w:lvl>
  </w:abstractNum>
  <w:abstractNum w:abstractNumId="21" w15:restartNumberingAfterBreak="0">
    <w:nsid w:val="681A7BDF"/>
    <w:multiLevelType w:val="hybridMultilevel"/>
    <w:tmpl w:val="FA86B320"/>
    <w:lvl w:ilvl="0" w:tplc="6C80CAC8">
      <w:start w:val="1"/>
      <w:numFmt w:val="decimal"/>
      <w:lvlText w:val="(%1)"/>
      <w:lvlJc w:val="left"/>
      <w:pPr>
        <w:ind w:left="570" w:hanging="360"/>
      </w:pPr>
      <w:rPr>
        <w:rFonts w:ascii="Verdana" w:hAnsi="Verdana" w:hint="default"/>
        <w:color w:val="0000FF"/>
        <w:u w:val="single"/>
      </w:rPr>
    </w:lvl>
    <w:lvl w:ilvl="1" w:tplc="2C0A0019" w:tentative="1">
      <w:start w:val="1"/>
      <w:numFmt w:val="lowerLetter"/>
      <w:lvlText w:val="%2."/>
      <w:lvlJc w:val="left"/>
      <w:pPr>
        <w:ind w:left="1290" w:hanging="360"/>
      </w:pPr>
    </w:lvl>
    <w:lvl w:ilvl="2" w:tplc="2C0A001B" w:tentative="1">
      <w:start w:val="1"/>
      <w:numFmt w:val="lowerRoman"/>
      <w:lvlText w:val="%3."/>
      <w:lvlJc w:val="right"/>
      <w:pPr>
        <w:ind w:left="2010" w:hanging="180"/>
      </w:pPr>
    </w:lvl>
    <w:lvl w:ilvl="3" w:tplc="2C0A000F" w:tentative="1">
      <w:start w:val="1"/>
      <w:numFmt w:val="decimal"/>
      <w:lvlText w:val="%4."/>
      <w:lvlJc w:val="left"/>
      <w:pPr>
        <w:ind w:left="2730" w:hanging="360"/>
      </w:pPr>
    </w:lvl>
    <w:lvl w:ilvl="4" w:tplc="2C0A0019" w:tentative="1">
      <w:start w:val="1"/>
      <w:numFmt w:val="lowerLetter"/>
      <w:lvlText w:val="%5."/>
      <w:lvlJc w:val="left"/>
      <w:pPr>
        <w:ind w:left="3450" w:hanging="360"/>
      </w:pPr>
    </w:lvl>
    <w:lvl w:ilvl="5" w:tplc="2C0A001B" w:tentative="1">
      <w:start w:val="1"/>
      <w:numFmt w:val="lowerRoman"/>
      <w:lvlText w:val="%6."/>
      <w:lvlJc w:val="right"/>
      <w:pPr>
        <w:ind w:left="4170" w:hanging="180"/>
      </w:pPr>
    </w:lvl>
    <w:lvl w:ilvl="6" w:tplc="2C0A000F" w:tentative="1">
      <w:start w:val="1"/>
      <w:numFmt w:val="decimal"/>
      <w:lvlText w:val="%7."/>
      <w:lvlJc w:val="left"/>
      <w:pPr>
        <w:ind w:left="4890" w:hanging="360"/>
      </w:pPr>
    </w:lvl>
    <w:lvl w:ilvl="7" w:tplc="2C0A0019" w:tentative="1">
      <w:start w:val="1"/>
      <w:numFmt w:val="lowerLetter"/>
      <w:lvlText w:val="%8."/>
      <w:lvlJc w:val="left"/>
      <w:pPr>
        <w:ind w:left="5610" w:hanging="360"/>
      </w:pPr>
    </w:lvl>
    <w:lvl w:ilvl="8" w:tplc="2C0A001B" w:tentative="1">
      <w:start w:val="1"/>
      <w:numFmt w:val="lowerRoman"/>
      <w:lvlText w:val="%9."/>
      <w:lvlJc w:val="right"/>
      <w:pPr>
        <w:ind w:left="6330" w:hanging="180"/>
      </w:pPr>
    </w:lvl>
  </w:abstractNum>
  <w:abstractNum w:abstractNumId="22" w15:restartNumberingAfterBreak="0">
    <w:nsid w:val="691A4EBE"/>
    <w:multiLevelType w:val="hybridMultilevel"/>
    <w:tmpl w:val="789C9202"/>
    <w:lvl w:ilvl="0" w:tplc="ABC658B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EF1F45"/>
    <w:multiLevelType w:val="hybridMultilevel"/>
    <w:tmpl w:val="A7F4A9CE"/>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642EDC"/>
    <w:multiLevelType w:val="hybridMultilevel"/>
    <w:tmpl w:val="A6F20B9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5" w15:restartNumberingAfterBreak="0">
    <w:nsid w:val="6F6F3A27"/>
    <w:multiLevelType w:val="hybridMultilevel"/>
    <w:tmpl w:val="636ECCCE"/>
    <w:lvl w:ilvl="0" w:tplc="0C0A0017">
      <w:start w:val="1"/>
      <w:numFmt w:val="lowerLetter"/>
      <w:lvlText w:val="%1)"/>
      <w:lvlJc w:val="left"/>
      <w:pPr>
        <w:ind w:left="3576" w:hanging="360"/>
      </w:pPr>
    </w:lvl>
    <w:lvl w:ilvl="1" w:tplc="0C0A0019" w:tentative="1">
      <w:start w:val="1"/>
      <w:numFmt w:val="lowerLetter"/>
      <w:lvlText w:val="%2."/>
      <w:lvlJc w:val="left"/>
      <w:pPr>
        <w:ind w:left="4296" w:hanging="360"/>
      </w:pPr>
    </w:lvl>
    <w:lvl w:ilvl="2" w:tplc="0C0A001B" w:tentative="1">
      <w:start w:val="1"/>
      <w:numFmt w:val="lowerRoman"/>
      <w:lvlText w:val="%3."/>
      <w:lvlJc w:val="right"/>
      <w:pPr>
        <w:ind w:left="5016" w:hanging="180"/>
      </w:pPr>
    </w:lvl>
    <w:lvl w:ilvl="3" w:tplc="0C0A000F" w:tentative="1">
      <w:start w:val="1"/>
      <w:numFmt w:val="decimal"/>
      <w:lvlText w:val="%4."/>
      <w:lvlJc w:val="left"/>
      <w:pPr>
        <w:ind w:left="5736" w:hanging="360"/>
      </w:pPr>
    </w:lvl>
    <w:lvl w:ilvl="4" w:tplc="0C0A0019" w:tentative="1">
      <w:start w:val="1"/>
      <w:numFmt w:val="lowerLetter"/>
      <w:lvlText w:val="%5."/>
      <w:lvlJc w:val="left"/>
      <w:pPr>
        <w:ind w:left="6456" w:hanging="360"/>
      </w:pPr>
    </w:lvl>
    <w:lvl w:ilvl="5" w:tplc="0C0A001B" w:tentative="1">
      <w:start w:val="1"/>
      <w:numFmt w:val="lowerRoman"/>
      <w:lvlText w:val="%6."/>
      <w:lvlJc w:val="right"/>
      <w:pPr>
        <w:ind w:left="7176" w:hanging="180"/>
      </w:pPr>
    </w:lvl>
    <w:lvl w:ilvl="6" w:tplc="0C0A000F" w:tentative="1">
      <w:start w:val="1"/>
      <w:numFmt w:val="decimal"/>
      <w:lvlText w:val="%7."/>
      <w:lvlJc w:val="left"/>
      <w:pPr>
        <w:ind w:left="7896" w:hanging="360"/>
      </w:pPr>
    </w:lvl>
    <w:lvl w:ilvl="7" w:tplc="0C0A0019" w:tentative="1">
      <w:start w:val="1"/>
      <w:numFmt w:val="lowerLetter"/>
      <w:lvlText w:val="%8."/>
      <w:lvlJc w:val="left"/>
      <w:pPr>
        <w:ind w:left="8616" w:hanging="360"/>
      </w:pPr>
    </w:lvl>
    <w:lvl w:ilvl="8" w:tplc="0C0A001B" w:tentative="1">
      <w:start w:val="1"/>
      <w:numFmt w:val="lowerRoman"/>
      <w:lvlText w:val="%9."/>
      <w:lvlJc w:val="right"/>
      <w:pPr>
        <w:ind w:left="9336" w:hanging="180"/>
      </w:pPr>
    </w:lvl>
  </w:abstractNum>
  <w:abstractNum w:abstractNumId="26" w15:restartNumberingAfterBreak="0">
    <w:nsid w:val="701807C1"/>
    <w:multiLevelType w:val="hybridMultilevel"/>
    <w:tmpl w:val="150E3392"/>
    <w:lvl w:ilvl="0" w:tplc="C92AFE16">
      <w:start w:val="1"/>
      <w:numFmt w:val="lowerLetter"/>
      <w:lvlText w:val="%1)"/>
      <w:lvlJc w:val="left"/>
      <w:pPr>
        <w:ind w:left="3048" w:hanging="360"/>
      </w:pPr>
      <w:rPr>
        <w:rFonts w:hint="default"/>
      </w:rPr>
    </w:lvl>
    <w:lvl w:ilvl="1" w:tplc="0C0A0019" w:tentative="1">
      <w:start w:val="1"/>
      <w:numFmt w:val="lowerLetter"/>
      <w:lvlText w:val="%2."/>
      <w:lvlJc w:val="left"/>
      <w:pPr>
        <w:ind w:left="3768" w:hanging="360"/>
      </w:pPr>
    </w:lvl>
    <w:lvl w:ilvl="2" w:tplc="0C0A001B" w:tentative="1">
      <w:start w:val="1"/>
      <w:numFmt w:val="lowerRoman"/>
      <w:lvlText w:val="%3."/>
      <w:lvlJc w:val="right"/>
      <w:pPr>
        <w:ind w:left="4488" w:hanging="180"/>
      </w:pPr>
    </w:lvl>
    <w:lvl w:ilvl="3" w:tplc="0C0A000F" w:tentative="1">
      <w:start w:val="1"/>
      <w:numFmt w:val="decimal"/>
      <w:lvlText w:val="%4."/>
      <w:lvlJc w:val="left"/>
      <w:pPr>
        <w:ind w:left="5208" w:hanging="360"/>
      </w:pPr>
    </w:lvl>
    <w:lvl w:ilvl="4" w:tplc="0C0A0019" w:tentative="1">
      <w:start w:val="1"/>
      <w:numFmt w:val="lowerLetter"/>
      <w:lvlText w:val="%5."/>
      <w:lvlJc w:val="left"/>
      <w:pPr>
        <w:ind w:left="5928" w:hanging="360"/>
      </w:pPr>
    </w:lvl>
    <w:lvl w:ilvl="5" w:tplc="0C0A001B" w:tentative="1">
      <w:start w:val="1"/>
      <w:numFmt w:val="lowerRoman"/>
      <w:lvlText w:val="%6."/>
      <w:lvlJc w:val="right"/>
      <w:pPr>
        <w:ind w:left="6648" w:hanging="180"/>
      </w:pPr>
    </w:lvl>
    <w:lvl w:ilvl="6" w:tplc="0C0A000F" w:tentative="1">
      <w:start w:val="1"/>
      <w:numFmt w:val="decimal"/>
      <w:lvlText w:val="%7."/>
      <w:lvlJc w:val="left"/>
      <w:pPr>
        <w:ind w:left="7368" w:hanging="360"/>
      </w:pPr>
    </w:lvl>
    <w:lvl w:ilvl="7" w:tplc="0C0A0019" w:tentative="1">
      <w:start w:val="1"/>
      <w:numFmt w:val="lowerLetter"/>
      <w:lvlText w:val="%8."/>
      <w:lvlJc w:val="left"/>
      <w:pPr>
        <w:ind w:left="8088" w:hanging="360"/>
      </w:pPr>
    </w:lvl>
    <w:lvl w:ilvl="8" w:tplc="0C0A001B" w:tentative="1">
      <w:start w:val="1"/>
      <w:numFmt w:val="lowerRoman"/>
      <w:lvlText w:val="%9."/>
      <w:lvlJc w:val="right"/>
      <w:pPr>
        <w:ind w:left="8808" w:hanging="180"/>
      </w:pPr>
    </w:lvl>
  </w:abstractNum>
  <w:abstractNum w:abstractNumId="27" w15:restartNumberingAfterBreak="0">
    <w:nsid w:val="7D0D37CC"/>
    <w:multiLevelType w:val="hybridMultilevel"/>
    <w:tmpl w:val="6324BD36"/>
    <w:lvl w:ilvl="0" w:tplc="3B8AAC06">
      <w:start w:val="1"/>
      <w:numFmt w:val="lowerLetter"/>
      <w:lvlText w:val="%1)"/>
      <w:lvlJc w:val="left"/>
      <w:pPr>
        <w:ind w:left="1353" w:hanging="360"/>
      </w:pPr>
      <w:rPr>
        <w:b w:val="0"/>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19"/>
  </w:num>
  <w:num w:numId="2">
    <w:abstractNumId w:val="0"/>
  </w:num>
  <w:num w:numId="3">
    <w:abstractNumId w:val="9"/>
  </w:num>
  <w:num w:numId="4">
    <w:abstractNumId w:val="2"/>
  </w:num>
  <w:num w:numId="5">
    <w:abstractNumId w:val="17"/>
  </w:num>
  <w:num w:numId="6">
    <w:abstractNumId w:val="26"/>
  </w:num>
  <w:num w:numId="7">
    <w:abstractNumId w:val="3"/>
  </w:num>
  <w:num w:numId="8">
    <w:abstractNumId w:val="10"/>
  </w:num>
  <w:num w:numId="9">
    <w:abstractNumId w:val="14"/>
  </w:num>
  <w:num w:numId="10">
    <w:abstractNumId w:val="25"/>
  </w:num>
  <w:num w:numId="11">
    <w:abstractNumId w:val="15"/>
  </w:num>
  <w:num w:numId="12">
    <w:abstractNumId w:val="8"/>
  </w:num>
  <w:num w:numId="13">
    <w:abstractNumId w:val="12"/>
  </w:num>
  <w:num w:numId="14">
    <w:abstractNumId w:val="13"/>
  </w:num>
  <w:num w:numId="15">
    <w:abstractNumId w:val="11"/>
  </w:num>
  <w:num w:numId="16">
    <w:abstractNumId w:val="27"/>
  </w:num>
  <w:num w:numId="17">
    <w:abstractNumId w:val="6"/>
  </w:num>
  <w:num w:numId="18">
    <w:abstractNumId w:val="7"/>
  </w:num>
  <w:num w:numId="19">
    <w:abstractNumId w:val="24"/>
  </w:num>
  <w:num w:numId="20">
    <w:abstractNumId w:val="23"/>
  </w:num>
  <w:num w:numId="21">
    <w:abstractNumId w:val="5"/>
  </w:num>
  <w:num w:numId="22">
    <w:abstractNumId w:val="16"/>
  </w:num>
  <w:num w:numId="23">
    <w:abstractNumId w:val="20"/>
  </w:num>
  <w:num w:numId="24">
    <w:abstractNumId w:val="22"/>
  </w:num>
  <w:num w:numId="25">
    <w:abstractNumId w:val="18"/>
  </w:num>
  <w:num w:numId="26">
    <w:abstractNumId w:val="1"/>
  </w:num>
  <w:num w:numId="27">
    <w:abstractNumId w:val="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94"/>
    <w:rsid w:val="000C0A0A"/>
    <w:rsid w:val="001D54EB"/>
    <w:rsid w:val="0028509C"/>
    <w:rsid w:val="002F0348"/>
    <w:rsid w:val="002F0E3F"/>
    <w:rsid w:val="003842DA"/>
    <w:rsid w:val="003947F8"/>
    <w:rsid w:val="00403BD2"/>
    <w:rsid w:val="0043404A"/>
    <w:rsid w:val="00464DA1"/>
    <w:rsid w:val="004A1A4C"/>
    <w:rsid w:val="004B6C90"/>
    <w:rsid w:val="004C3748"/>
    <w:rsid w:val="00546461"/>
    <w:rsid w:val="00555579"/>
    <w:rsid w:val="00555B59"/>
    <w:rsid w:val="00595E4A"/>
    <w:rsid w:val="00677454"/>
    <w:rsid w:val="006D02D3"/>
    <w:rsid w:val="00717CF6"/>
    <w:rsid w:val="007676F7"/>
    <w:rsid w:val="00777237"/>
    <w:rsid w:val="007C091C"/>
    <w:rsid w:val="007E6703"/>
    <w:rsid w:val="00807E28"/>
    <w:rsid w:val="0084701F"/>
    <w:rsid w:val="008902AA"/>
    <w:rsid w:val="008B3472"/>
    <w:rsid w:val="008D0A55"/>
    <w:rsid w:val="008F21AF"/>
    <w:rsid w:val="00922E3C"/>
    <w:rsid w:val="00923055"/>
    <w:rsid w:val="00930B26"/>
    <w:rsid w:val="00935385"/>
    <w:rsid w:val="00951887"/>
    <w:rsid w:val="009A7325"/>
    <w:rsid w:val="009C453D"/>
    <w:rsid w:val="009E0812"/>
    <w:rsid w:val="00A041F9"/>
    <w:rsid w:val="00A17CAA"/>
    <w:rsid w:val="00A93E48"/>
    <w:rsid w:val="00AE62D6"/>
    <w:rsid w:val="00B072E6"/>
    <w:rsid w:val="00B851CA"/>
    <w:rsid w:val="00B85B0E"/>
    <w:rsid w:val="00B90771"/>
    <w:rsid w:val="00BF4D65"/>
    <w:rsid w:val="00C95AFD"/>
    <w:rsid w:val="00DA274B"/>
    <w:rsid w:val="00DA3438"/>
    <w:rsid w:val="00DE4F33"/>
    <w:rsid w:val="00DF42F9"/>
    <w:rsid w:val="00DF6084"/>
    <w:rsid w:val="00E849AF"/>
    <w:rsid w:val="00EF33A6"/>
    <w:rsid w:val="00F122F4"/>
    <w:rsid w:val="00F210DE"/>
    <w:rsid w:val="00F22C44"/>
    <w:rsid w:val="00F44C94"/>
    <w:rsid w:val="00F737D1"/>
    <w:rsid w:val="00F74D95"/>
    <w:rsid w:val="00F80670"/>
    <w:rsid w:val="00FA7E4F"/>
    <w:rsid w:val="00FB1E0C"/>
    <w:rsid w:val="00FE69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9253"/>
  <w15:docId w15:val="{F39C6E17-018B-4026-83C2-B8FB4AA0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94"/>
    <w:rPr>
      <w:rFonts w:ascii="Calibri" w:eastAsia="Calibri" w:hAnsi="Calibri" w:cs="Times New Roman"/>
      <w:lang w:val="es-AR"/>
    </w:rPr>
  </w:style>
  <w:style w:type="paragraph" w:styleId="Ttulo1">
    <w:name w:val="heading 1"/>
    <w:basedOn w:val="Normal"/>
    <w:next w:val="Normal"/>
    <w:link w:val="Ttulo1Car"/>
    <w:qFormat/>
    <w:rsid w:val="00F44C94"/>
    <w:pPr>
      <w:keepNext/>
      <w:widowControl w:val="0"/>
      <w:spacing w:after="0" w:line="240" w:lineRule="auto"/>
      <w:outlineLvl w:val="0"/>
    </w:pPr>
    <w:rPr>
      <w:rFonts w:ascii="Times New Roman" w:eastAsia="Times New Roman" w:hAnsi="Times New Roman"/>
      <w:b/>
      <w:sz w:val="24"/>
      <w:szCs w:val="20"/>
      <w:lang w:val="en-U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44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4C94"/>
  </w:style>
  <w:style w:type="paragraph" w:styleId="Piedepgina">
    <w:name w:val="footer"/>
    <w:basedOn w:val="Normal"/>
    <w:link w:val="PiedepginaCar"/>
    <w:uiPriority w:val="99"/>
    <w:semiHidden/>
    <w:unhideWhenUsed/>
    <w:rsid w:val="00F44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4C94"/>
  </w:style>
  <w:style w:type="character" w:customStyle="1" w:styleId="Ttulo1Car">
    <w:name w:val="Título 1 Car"/>
    <w:basedOn w:val="Fuentedeprrafopredeter"/>
    <w:link w:val="Ttulo1"/>
    <w:rsid w:val="00F44C94"/>
    <w:rPr>
      <w:rFonts w:ascii="Times New Roman" w:eastAsia="Times New Roman" w:hAnsi="Times New Roman" w:cs="Times New Roman"/>
      <w:b/>
      <w:sz w:val="24"/>
      <w:szCs w:val="20"/>
      <w:lang w:val="en-US" w:eastAsia="es-AR"/>
    </w:rPr>
  </w:style>
  <w:style w:type="character" w:customStyle="1" w:styleId="negritanovedades">
    <w:name w:val="negritanovedades"/>
    <w:basedOn w:val="Fuentedeprrafopredeter"/>
    <w:rsid w:val="00B85B0E"/>
  </w:style>
  <w:style w:type="paragraph" w:customStyle="1" w:styleId="textocentradonegritanovedades0">
    <w:name w:val="textocentradonegritanovedades0"/>
    <w:basedOn w:val="Normal"/>
    <w:rsid w:val="00B85B0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angrianovedades">
    <w:name w:val="sangrianovedades"/>
    <w:basedOn w:val="Normal"/>
    <w:rsid w:val="00B85B0E"/>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B85B0E"/>
    <w:rPr>
      <w:color w:val="0000FF" w:themeColor="hyperlink"/>
      <w:u w:val="single"/>
    </w:rPr>
  </w:style>
  <w:style w:type="paragraph" w:styleId="Prrafodelista">
    <w:name w:val="List Paragraph"/>
    <w:basedOn w:val="Normal"/>
    <w:uiPriority w:val="34"/>
    <w:qFormat/>
    <w:rsid w:val="00BF4D65"/>
    <w:pPr>
      <w:ind w:left="720"/>
      <w:contextualSpacing/>
    </w:pPr>
  </w:style>
  <w:style w:type="character" w:customStyle="1" w:styleId="cursivanovedades">
    <w:name w:val="cursivanovedades"/>
    <w:basedOn w:val="Fuentedeprrafopredeter"/>
    <w:rsid w:val="00BF4D65"/>
  </w:style>
  <w:style w:type="paragraph" w:customStyle="1" w:styleId="errepar1erfrancesnovedades">
    <w:name w:val="errepar_1erfrancesnovedades"/>
    <w:basedOn w:val="Normal"/>
    <w:rsid w:val="007E670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ipervnculo0">
    <w:name w:val="hipervnculo"/>
    <w:basedOn w:val="Fuentedeprrafopredeter"/>
    <w:rsid w:val="007E6703"/>
  </w:style>
  <w:style w:type="paragraph" w:customStyle="1" w:styleId="textonovedades">
    <w:name w:val="textonovedades"/>
    <w:basedOn w:val="Normal"/>
    <w:rsid w:val="007E6703"/>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rrepar1erfrancesnovedades0">
    <w:name w:val="errepar1erfrancesnovedades"/>
    <w:basedOn w:val="Normal"/>
    <w:rsid w:val="0054646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rrepar2dofrancesnovedades">
    <w:name w:val="errepar_2dofrancesnovedades"/>
    <w:basedOn w:val="Normal"/>
    <w:rsid w:val="00546461"/>
    <w:pPr>
      <w:spacing w:before="100" w:beforeAutospacing="1" w:after="100" w:afterAutospacing="1" w:line="240" w:lineRule="auto"/>
    </w:pPr>
    <w:rPr>
      <w:rFonts w:ascii="Times New Roman" w:eastAsia="Times New Roman" w:hAnsi="Times New Roman"/>
      <w:sz w:val="24"/>
      <w:szCs w:val="24"/>
      <w:lang w:eastAsia="es-AR"/>
    </w:rPr>
  </w:style>
  <w:style w:type="paragraph" w:styleId="NormalWeb">
    <w:name w:val="Normal (Web)"/>
    <w:basedOn w:val="Normal"/>
    <w:uiPriority w:val="99"/>
    <w:semiHidden/>
    <w:unhideWhenUsed/>
    <w:rsid w:val="00DF608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centradonegritanovedades">
    <w:name w:val="textocentradonegritanovedades"/>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umarionovedades">
    <w:name w:val="sumarionovedades"/>
    <w:basedOn w:val="Fuentedeprrafopredeter"/>
    <w:rsid w:val="00DF6084"/>
  </w:style>
  <w:style w:type="paragraph" w:customStyle="1" w:styleId="lineanueva">
    <w:name w:val="lineanueva"/>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negritacursivanovedades">
    <w:name w:val="negritacursivanovedades"/>
    <w:basedOn w:val="Fuentedeprrafopredeter"/>
    <w:rsid w:val="00DF6084"/>
  </w:style>
  <w:style w:type="paragraph" w:customStyle="1" w:styleId="textocentradonovedades">
    <w:name w:val="textocentradonovedades"/>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errepar2dofrancesnovedades0">
    <w:name w:val="errepar2dofrancesnovedades"/>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notasnovedades">
    <w:name w:val="notasnovedades"/>
    <w:basedOn w:val="Normal"/>
    <w:rsid w:val="006D02D3"/>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8novedades">
    <w:name w:val="texto8novedades"/>
    <w:basedOn w:val="Normal"/>
    <w:rsid w:val="006D02D3"/>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819">
      <w:bodyDiv w:val="1"/>
      <w:marLeft w:val="0"/>
      <w:marRight w:val="0"/>
      <w:marTop w:val="0"/>
      <w:marBottom w:val="0"/>
      <w:divBdr>
        <w:top w:val="none" w:sz="0" w:space="0" w:color="auto"/>
        <w:left w:val="none" w:sz="0" w:space="0" w:color="auto"/>
        <w:bottom w:val="none" w:sz="0" w:space="0" w:color="auto"/>
        <w:right w:val="none" w:sz="0" w:space="0" w:color="auto"/>
      </w:divBdr>
    </w:div>
    <w:div w:id="63921008">
      <w:bodyDiv w:val="1"/>
      <w:marLeft w:val="0"/>
      <w:marRight w:val="0"/>
      <w:marTop w:val="0"/>
      <w:marBottom w:val="0"/>
      <w:divBdr>
        <w:top w:val="none" w:sz="0" w:space="0" w:color="auto"/>
        <w:left w:val="none" w:sz="0" w:space="0" w:color="auto"/>
        <w:bottom w:val="none" w:sz="0" w:space="0" w:color="auto"/>
        <w:right w:val="none" w:sz="0" w:space="0" w:color="auto"/>
      </w:divBdr>
    </w:div>
    <w:div w:id="149175123">
      <w:bodyDiv w:val="1"/>
      <w:marLeft w:val="0"/>
      <w:marRight w:val="0"/>
      <w:marTop w:val="0"/>
      <w:marBottom w:val="0"/>
      <w:divBdr>
        <w:top w:val="none" w:sz="0" w:space="0" w:color="auto"/>
        <w:left w:val="none" w:sz="0" w:space="0" w:color="auto"/>
        <w:bottom w:val="none" w:sz="0" w:space="0" w:color="auto"/>
        <w:right w:val="none" w:sz="0" w:space="0" w:color="auto"/>
      </w:divBdr>
    </w:div>
    <w:div w:id="149837071">
      <w:bodyDiv w:val="1"/>
      <w:marLeft w:val="0"/>
      <w:marRight w:val="0"/>
      <w:marTop w:val="0"/>
      <w:marBottom w:val="0"/>
      <w:divBdr>
        <w:top w:val="none" w:sz="0" w:space="0" w:color="auto"/>
        <w:left w:val="none" w:sz="0" w:space="0" w:color="auto"/>
        <w:bottom w:val="none" w:sz="0" w:space="0" w:color="auto"/>
        <w:right w:val="none" w:sz="0" w:space="0" w:color="auto"/>
      </w:divBdr>
    </w:div>
    <w:div w:id="218322886">
      <w:bodyDiv w:val="1"/>
      <w:marLeft w:val="0"/>
      <w:marRight w:val="0"/>
      <w:marTop w:val="0"/>
      <w:marBottom w:val="0"/>
      <w:divBdr>
        <w:top w:val="none" w:sz="0" w:space="0" w:color="auto"/>
        <w:left w:val="none" w:sz="0" w:space="0" w:color="auto"/>
        <w:bottom w:val="none" w:sz="0" w:space="0" w:color="auto"/>
        <w:right w:val="none" w:sz="0" w:space="0" w:color="auto"/>
      </w:divBdr>
    </w:div>
    <w:div w:id="252978424">
      <w:bodyDiv w:val="1"/>
      <w:marLeft w:val="0"/>
      <w:marRight w:val="0"/>
      <w:marTop w:val="0"/>
      <w:marBottom w:val="0"/>
      <w:divBdr>
        <w:top w:val="none" w:sz="0" w:space="0" w:color="auto"/>
        <w:left w:val="none" w:sz="0" w:space="0" w:color="auto"/>
        <w:bottom w:val="none" w:sz="0" w:space="0" w:color="auto"/>
        <w:right w:val="none" w:sz="0" w:space="0" w:color="auto"/>
      </w:divBdr>
    </w:div>
    <w:div w:id="276373974">
      <w:bodyDiv w:val="1"/>
      <w:marLeft w:val="0"/>
      <w:marRight w:val="0"/>
      <w:marTop w:val="0"/>
      <w:marBottom w:val="0"/>
      <w:divBdr>
        <w:top w:val="none" w:sz="0" w:space="0" w:color="auto"/>
        <w:left w:val="none" w:sz="0" w:space="0" w:color="auto"/>
        <w:bottom w:val="none" w:sz="0" w:space="0" w:color="auto"/>
        <w:right w:val="none" w:sz="0" w:space="0" w:color="auto"/>
      </w:divBdr>
    </w:div>
    <w:div w:id="348602259">
      <w:bodyDiv w:val="1"/>
      <w:marLeft w:val="0"/>
      <w:marRight w:val="0"/>
      <w:marTop w:val="0"/>
      <w:marBottom w:val="0"/>
      <w:divBdr>
        <w:top w:val="none" w:sz="0" w:space="0" w:color="auto"/>
        <w:left w:val="none" w:sz="0" w:space="0" w:color="auto"/>
        <w:bottom w:val="none" w:sz="0" w:space="0" w:color="auto"/>
        <w:right w:val="none" w:sz="0" w:space="0" w:color="auto"/>
      </w:divBdr>
    </w:div>
    <w:div w:id="353658742">
      <w:bodyDiv w:val="1"/>
      <w:marLeft w:val="0"/>
      <w:marRight w:val="0"/>
      <w:marTop w:val="0"/>
      <w:marBottom w:val="0"/>
      <w:divBdr>
        <w:top w:val="none" w:sz="0" w:space="0" w:color="auto"/>
        <w:left w:val="none" w:sz="0" w:space="0" w:color="auto"/>
        <w:bottom w:val="none" w:sz="0" w:space="0" w:color="auto"/>
        <w:right w:val="none" w:sz="0" w:space="0" w:color="auto"/>
      </w:divBdr>
    </w:div>
    <w:div w:id="372384547">
      <w:bodyDiv w:val="1"/>
      <w:marLeft w:val="0"/>
      <w:marRight w:val="0"/>
      <w:marTop w:val="0"/>
      <w:marBottom w:val="0"/>
      <w:divBdr>
        <w:top w:val="none" w:sz="0" w:space="0" w:color="auto"/>
        <w:left w:val="none" w:sz="0" w:space="0" w:color="auto"/>
        <w:bottom w:val="none" w:sz="0" w:space="0" w:color="auto"/>
        <w:right w:val="none" w:sz="0" w:space="0" w:color="auto"/>
      </w:divBdr>
    </w:div>
    <w:div w:id="419059187">
      <w:bodyDiv w:val="1"/>
      <w:marLeft w:val="0"/>
      <w:marRight w:val="0"/>
      <w:marTop w:val="0"/>
      <w:marBottom w:val="0"/>
      <w:divBdr>
        <w:top w:val="none" w:sz="0" w:space="0" w:color="auto"/>
        <w:left w:val="none" w:sz="0" w:space="0" w:color="auto"/>
        <w:bottom w:val="none" w:sz="0" w:space="0" w:color="auto"/>
        <w:right w:val="none" w:sz="0" w:space="0" w:color="auto"/>
      </w:divBdr>
    </w:div>
    <w:div w:id="519438646">
      <w:bodyDiv w:val="1"/>
      <w:marLeft w:val="0"/>
      <w:marRight w:val="0"/>
      <w:marTop w:val="0"/>
      <w:marBottom w:val="0"/>
      <w:divBdr>
        <w:top w:val="none" w:sz="0" w:space="0" w:color="auto"/>
        <w:left w:val="none" w:sz="0" w:space="0" w:color="auto"/>
        <w:bottom w:val="none" w:sz="0" w:space="0" w:color="auto"/>
        <w:right w:val="none" w:sz="0" w:space="0" w:color="auto"/>
      </w:divBdr>
    </w:div>
    <w:div w:id="538863994">
      <w:bodyDiv w:val="1"/>
      <w:marLeft w:val="0"/>
      <w:marRight w:val="0"/>
      <w:marTop w:val="0"/>
      <w:marBottom w:val="0"/>
      <w:divBdr>
        <w:top w:val="none" w:sz="0" w:space="0" w:color="auto"/>
        <w:left w:val="none" w:sz="0" w:space="0" w:color="auto"/>
        <w:bottom w:val="none" w:sz="0" w:space="0" w:color="auto"/>
        <w:right w:val="none" w:sz="0" w:space="0" w:color="auto"/>
      </w:divBdr>
    </w:div>
    <w:div w:id="582304419">
      <w:bodyDiv w:val="1"/>
      <w:marLeft w:val="0"/>
      <w:marRight w:val="0"/>
      <w:marTop w:val="0"/>
      <w:marBottom w:val="0"/>
      <w:divBdr>
        <w:top w:val="none" w:sz="0" w:space="0" w:color="auto"/>
        <w:left w:val="none" w:sz="0" w:space="0" w:color="auto"/>
        <w:bottom w:val="none" w:sz="0" w:space="0" w:color="auto"/>
        <w:right w:val="none" w:sz="0" w:space="0" w:color="auto"/>
      </w:divBdr>
    </w:div>
    <w:div w:id="707493858">
      <w:bodyDiv w:val="1"/>
      <w:marLeft w:val="0"/>
      <w:marRight w:val="0"/>
      <w:marTop w:val="0"/>
      <w:marBottom w:val="0"/>
      <w:divBdr>
        <w:top w:val="none" w:sz="0" w:space="0" w:color="auto"/>
        <w:left w:val="none" w:sz="0" w:space="0" w:color="auto"/>
        <w:bottom w:val="none" w:sz="0" w:space="0" w:color="auto"/>
        <w:right w:val="none" w:sz="0" w:space="0" w:color="auto"/>
      </w:divBdr>
    </w:div>
    <w:div w:id="716665107">
      <w:bodyDiv w:val="1"/>
      <w:marLeft w:val="0"/>
      <w:marRight w:val="0"/>
      <w:marTop w:val="0"/>
      <w:marBottom w:val="0"/>
      <w:divBdr>
        <w:top w:val="none" w:sz="0" w:space="0" w:color="auto"/>
        <w:left w:val="none" w:sz="0" w:space="0" w:color="auto"/>
        <w:bottom w:val="none" w:sz="0" w:space="0" w:color="auto"/>
        <w:right w:val="none" w:sz="0" w:space="0" w:color="auto"/>
      </w:divBdr>
    </w:div>
    <w:div w:id="798501091">
      <w:bodyDiv w:val="1"/>
      <w:marLeft w:val="0"/>
      <w:marRight w:val="0"/>
      <w:marTop w:val="0"/>
      <w:marBottom w:val="0"/>
      <w:divBdr>
        <w:top w:val="none" w:sz="0" w:space="0" w:color="auto"/>
        <w:left w:val="none" w:sz="0" w:space="0" w:color="auto"/>
        <w:bottom w:val="none" w:sz="0" w:space="0" w:color="auto"/>
        <w:right w:val="none" w:sz="0" w:space="0" w:color="auto"/>
      </w:divBdr>
    </w:div>
    <w:div w:id="799879058">
      <w:bodyDiv w:val="1"/>
      <w:marLeft w:val="0"/>
      <w:marRight w:val="0"/>
      <w:marTop w:val="0"/>
      <w:marBottom w:val="0"/>
      <w:divBdr>
        <w:top w:val="none" w:sz="0" w:space="0" w:color="auto"/>
        <w:left w:val="none" w:sz="0" w:space="0" w:color="auto"/>
        <w:bottom w:val="none" w:sz="0" w:space="0" w:color="auto"/>
        <w:right w:val="none" w:sz="0" w:space="0" w:color="auto"/>
      </w:divBdr>
    </w:div>
    <w:div w:id="885264569">
      <w:bodyDiv w:val="1"/>
      <w:marLeft w:val="0"/>
      <w:marRight w:val="0"/>
      <w:marTop w:val="0"/>
      <w:marBottom w:val="0"/>
      <w:divBdr>
        <w:top w:val="none" w:sz="0" w:space="0" w:color="auto"/>
        <w:left w:val="none" w:sz="0" w:space="0" w:color="auto"/>
        <w:bottom w:val="none" w:sz="0" w:space="0" w:color="auto"/>
        <w:right w:val="none" w:sz="0" w:space="0" w:color="auto"/>
      </w:divBdr>
    </w:div>
    <w:div w:id="901795172">
      <w:bodyDiv w:val="1"/>
      <w:marLeft w:val="0"/>
      <w:marRight w:val="0"/>
      <w:marTop w:val="0"/>
      <w:marBottom w:val="0"/>
      <w:divBdr>
        <w:top w:val="none" w:sz="0" w:space="0" w:color="auto"/>
        <w:left w:val="none" w:sz="0" w:space="0" w:color="auto"/>
        <w:bottom w:val="none" w:sz="0" w:space="0" w:color="auto"/>
        <w:right w:val="none" w:sz="0" w:space="0" w:color="auto"/>
      </w:divBdr>
    </w:div>
    <w:div w:id="915018853">
      <w:bodyDiv w:val="1"/>
      <w:marLeft w:val="0"/>
      <w:marRight w:val="0"/>
      <w:marTop w:val="0"/>
      <w:marBottom w:val="0"/>
      <w:divBdr>
        <w:top w:val="none" w:sz="0" w:space="0" w:color="auto"/>
        <w:left w:val="none" w:sz="0" w:space="0" w:color="auto"/>
        <w:bottom w:val="none" w:sz="0" w:space="0" w:color="auto"/>
        <w:right w:val="none" w:sz="0" w:space="0" w:color="auto"/>
      </w:divBdr>
    </w:div>
    <w:div w:id="921986409">
      <w:bodyDiv w:val="1"/>
      <w:marLeft w:val="0"/>
      <w:marRight w:val="0"/>
      <w:marTop w:val="0"/>
      <w:marBottom w:val="0"/>
      <w:divBdr>
        <w:top w:val="none" w:sz="0" w:space="0" w:color="auto"/>
        <w:left w:val="none" w:sz="0" w:space="0" w:color="auto"/>
        <w:bottom w:val="none" w:sz="0" w:space="0" w:color="auto"/>
        <w:right w:val="none" w:sz="0" w:space="0" w:color="auto"/>
      </w:divBdr>
    </w:div>
    <w:div w:id="1159537339">
      <w:bodyDiv w:val="1"/>
      <w:marLeft w:val="0"/>
      <w:marRight w:val="0"/>
      <w:marTop w:val="0"/>
      <w:marBottom w:val="0"/>
      <w:divBdr>
        <w:top w:val="none" w:sz="0" w:space="0" w:color="auto"/>
        <w:left w:val="none" w:sz="0" w:space="0" w:color="auto"/>
        <w:bottom w:val="none" w:sz="0" w:space="0" w:color="auto"/>
        <w:right w:val="none" w:sz="0" w:space="0" w:color="auto"/>
      </w:divBdr>
    </w:div>
    <w:div w:id="1186947989">
      <w:bodyDiv w:val="1"/>
      <w:marLeft w:val="0"/>
      <w:marRight w:val="0"/>
      <w:marTop w:val="0"/>
      <w:marBottom w:val="0"/>
      <w:divBdr>
        <w:top w:val="none" w:sz="0" w:space="0" w:color="auto"/>
        <w:left w:val="none" w:sz="0" w:space="0" w:color="auto"/>
        <w:bottom w:val="none" w:sz="0" w:space="0" w:color="auto"/>
        <w:right w:val="none" w:sz="0" w:space="0" w:color="auto"/>
      </w:divBdr>
    </w:div>
    <w:div w:id="1206023232">
      <w:bodyDiv w:val="1"/>
      <w:marLeft w:val="0"/>
      <w:marRight w:val="0"/>
      <w:marTop w:val="0"/>
      <w:marBottom w:val="0"/>
      <w:divBdr>
        <w:top w:val="none" w:sz="0" w:space="0" w:color="auto"/>
        <w:left w:val="none" w:sz="0" w:space="0" w:color="auto"/>
        <w:bottom w:val="none" w:sz="0" w:space="0" w:color="auto"/>
        <w:right w:val="none" w:sz="0" w:space="0" w:color="auto"/>
      </w:divBdr>
    </w:div>
    <w:div w:id="1365667144">
      <w:bodyDiv w:val="1"/>
      <w:marLeft w:val="0"/>
      <w:marRight w:val="0"/>
      <w:marTop w:val="0"/>
      <w:marBottom w:val="0"/>
      <w:divBdr>
        <w:top w:val="none" w:sz="0" w:space="0" w:color="auto"/>
        <w:left w:val="none" w:sz="0" w:space="0" w:color="auto"/>
        <w:bottom w:val="none" w:sz="0" w:space="0" w:color="auto"/>
        <w:right w:val="none" w:sz="0" w:space="0" w:color="auto"/>
      </w:divBdr>
    </w:div>
    <w:div w:id="1382628535">
      <w:bodyDiv w:val="1"/>
      <w:marLeft w:val="0"/>
      <w:marRight w:val="0"/>
      <w:marTop w:val="0"/>
      <w:marBottom w:val="0"/>
      <w:divBdr>
        <w:top w:val="none" w:sz="0" w:space="0" w:color="auto"/>
        <w:left w:val="none" w:sz="0" w:space="0" w:color="auto"/>
        <w:bottom w:val="none" w:sz="0" w:space="0" w:color="auto"/>
        <w:right w:val="none" w:sz="0" w:space="0" w:color="auto"/>
      </w:divBdr>
    </w:div>
    <w:div w:id="1402485000">
      <w:bodyDiv w:val="1"/>
      <w:marLeft w:val="0"/>
      <w:marRight w:val="0"/>
      <w:marTop w:val="0"/>
      <w:marBottom w:val="0"/>
      <w:divBdr>
        <w:top w:val="none" w:sz="0" w:space="0" w:color="auto"/>
        <w:left w:val="none" w:sz="0" w:space="0" w:color="auto"/>
        <w:bottom w:val="none" w:sz="0" w:space="0" w:color="auto"/>
        <w:right w:val="none" w:sz="0" w:space="0" w:color="auto"/>
      </w:divBdr>
    </w:div>
    <w:div w:id="1461534184">
      <w:bodyDiv w:val="1"/>
      <w:marLeft w:val="0"/>
      <w:marRight w:val="0"/>
      <w:marTop w:val="0"/>
      <w:marBottom w:val="0"/>
      <w:divBdr>
        <w:top w:val="none" w:sz="0" w:space="0" w:color="auto"/>
        <w:left w:val="none" w:sz="0" w:space="0" w:color="auto"/>
        <w:bottom w:val="none" w:sz="0" w:space="0" w:color="auto"/>
        <w:right w:val="none" w:sz="0" w:space="0" w:color="auto"/>
      </w:divBdr>
    </w:div>
    <w:div w:id="1471707266">
      <w:bodyDiv w:val="1"/>
      <w:marLeft w:val="0"/>
      <w:marRight w:val="0"/>
      <w:marTop w:val="0"/>
      <w:marBottom w:val="0"/>
      <w:divBdr>
        <w:top w:val="none" w:sz="0" w:space="0" w:color="auto"/>
        <w:left w:val="none" w:sz="0" w:space="0" w:color="auto"/>
        <w:bottom w:val="none" w:sz="0" w:space="0" w:color="auto"/>
        <w:right w:val="none" w:sz="0" w:space="0" w:color="auto"/>
      </w:divBdr>
    </w:div>
    <w:div w:id="1542522633">
      <w:bodyDiv w:val="1"/>
      <w:marLeft w:val="0"/>
      <w:marRight w:val="0"/>
      <w:marTop w:val="0"/>
      <w:marBottom w:val="0"/>
      <w:divBdr>
        <w:top w:val="none" w:sz="0" w:space="0" w:color="auto"/>
        <w:left w:val="none" w:sz="0" w:space="0" w:color="auto"/>
        <w:bottom w:val="none" w:sz="0" w:space="0" w:color="auto"/>
        <w:right w:val="none" w:sz="0" w:space="0" w:color="auto"/>
      </w:divBdr>
    </w:div>
    <w:div w:id="1575705530">
      <w:bodyDiv w:val="1"/>
      <w:marLeft w:val="0"/>
      <w:marRight w:val="0"/>
      <w:marTop w:val="0"/>
      <w:marBottom w:val="0"/>
      <w:divBdr>
        <w:top w:val="none" w:sz="0" w:space="0" w:color="auto"/>
        <w:left w:val="none" w:sz="0" w:space="0" w:color="auto"/>
        <w:bottom w:val="none" w:sz="0" w:space="0" w:color="auto"/>
        <w:right w:val="none" w:sz="0" w:space="0" w:color="auto"/>
      </w:divBdr>
    </w:div>
    <w:div w:id="1706562516">
      <w:bodyDiv w:val="1"/>
      <w:marLeft w:val="0"/>
      <w:marRight w:val="0"/>
      <w:marTop w:val="0"/>
      <w:marBottom w:val="0"/>
      <w:divBdr>
        <w:top w:val="none" w:sz="0" w:space="0" w:color="auto"/>
        <w:left w:val="none" w:sz="0" w:space="0" w:color="auto"/>
        <w:bottom w:val="none" w:sz="0" w:space="0" w:color="auto"/>
        <w:right w:val="none" w:sz="0" w:space="0" w:color="auto"/>
      </w:divBdr>
    </w:div>
    <w:div w:id="1724868550">
      <w:bodyDiv w:val="1"/>
      <w:marLeft w:val="0"/>
      <w:marRight w:val="0"/>
      <w:marTop w:val="0"/>
      <w:marBottom w:val="0"/>
      <w:divBdr>
        <w:top w:val="none" w:sz="0" w:space="0" w:color="auto"/>
        <w:left w:val="none" w:sz="0" w:space="0" w:color="auto"/>
        <w:bottom w:val="none" w:sz="0" w:space="0" w:color="auto"/>
        <w:right w:val="none" w:sz="0" w:space="0" w:color="auto"/>
      </w:divBdr>
    </w:div>
    <w:div w:id="1730420276">
      <w:bodyDiv w:val="1"/>
      <w:marLeft w:val="0"/>
      <w:marRight w:val="0"/>
      <w:marTop w:val="0"/>
      <w:marBottom w:val="0"/>
      <w:divBdr>
        <w:top w:val="none" w:sz="0" w:space="0" w:color="auto"/>
        <w:left w:val="none" w:sz="0" w:space="0" w:color="auto"/>
        <w:bottom w:val="none" w:sz="0" w:space="0" w:color="auto"/>
        <w:right w:val="none" w:sz="0" w:space="0" w:color="auto"/>
      </w:divBdr>
    </w:div>
    <w:div w:id="1846168213">
      <w:bodyDiv w:val="1"/>
      <w:marLeft w:val="0"/>
      <w:marRight w:val="0"/>
      <w:marTop w:val="0"/>
      <w:marBottom w:val="0"/>
      <w:divBdr>
        <w:top w:val="none" w:sz="0" w:space="0" w:color="auto"/>
        <w:left w:val="none" w:sz="0" w:space="0" w:color="auto"/>
        <w:bottom w:val="none" w:sz="0" w:space="0" w:color="auto"/>
        <w:right w:val="none" w:sz="0" w:space="0" w:color="auto"/>
      </w:divBdr>
    </w:div>
    <w:div w:id="1851068098">
      <w:bodyDiv w:val="1"/>
      <w:marLeft w:val="0"/>
      <w:marRight w:val="0"/>
      <w:marTop w:val="0"/>
      <w:marBottom w:val="0"/>
      <w:divBdr>
        <w:top w:val="none" w:sz="0" w:space="0" w:color="auto"/>
        <w:left w:val="none" w:sz="0" w:space="0" w:color="auto"/>
        <w:bottom w:val="none" w:sz="0" w:space="0" w:color="auto"/>
        <w:right w:val="none" w:sz="0" w:space="0" w:color="auto"/>
      </w:divBdr>
    </w:div>
    <w:div w:id="1856335310">
      <w:bodyDiv w:val="1"/>
      <w:marLeft w:val="0"/>
      <w:marRight w:val="0"/>
      <w:marTop w:val="0"/>
      <w:marBottom w:val="0"/>
      <w:divBdr>
        <w:top w:val="none" w:sz="0" w:space="0" w:color="auto"/>
        <w:left w:val="none" w:sz="0" w:space="0" w:color="auto"/>
        <w:bottom w:val="none" w:sz="0" w:space="0" w:color="auto"/>
        <w:right w:val="none" w:sz="0" w:space="0" w:color="auto"/>
      </w:divBdr>
    </w:div>
    <w:div w:id="1861238748">
      <w:bodyDiv w:val="1"/>
      <w:marLeft w:val="0"/>
      <w:marRight w:val="0"/>
      <w:marTop w:val="0"/>
      <w:marBottom w:val="0"/>
      <w:divBdr>
        <w:top w:val="none" w:sz="0" w:space="0" w:color="auto"/>
        <w:left w:val="none" w:sz="0" w:space="0" w:color="auto"/>
        <w:bottom w:val="none" w:sz="0" w:space="0" w:color="auto"/>
        <w:right w:val="none" w:sz="0" w:space="0" w:color="auto"/>
      </w:divBdr>
    </w:div>
    <w:div w:id="1883055517">
      <w:bodyDiv w:val="1"/>
      <w:marLeft w:val="0"/>
      <w:marRight w:val="0"/>
      <w:marTop w:val="0"/>
      <w:marBottom w:val="0"/>
      <w:divBdr>
        <w:top w:val="none" w:sz="0" w:space="0" w:color="auto"/>
        <w:left w:val="none" w:sz="0" w:space="0" w:color="auto"/>
        <w:bottom w:val="none" w:sz="0" w:space="0" w:color="auto"/>
        <w:right w:val="none" w:sz="0" w:space="0" w:color="auto"/>
      </w:divBdr>
    </w:div>
    <w:div w:id="2026209204">
      <w:bodyDiv w:val="1"/>
      <w:marLeft w:val="0"/>
      <w:marRight w:val="0"/>
      <w:marTop w:val="0"/>
      <w:marBottom w:val="0"/>
      <w:divBdr>
        <w:top w:val="none" w:sz="0" w:space="0" w:color="auto"/>
        <w:left w:val="none" w:sz="0" w:space="0" w:color="auto"/>
        <w:bottom w:val="none" w:sz="0" w:space="0" w:color="auto"/>
        <w:right w:val="none" w:sz="0" w:space="0" w:color="auto"/>
      </w:divBdr>
    </w:div>
    <w:div w:id="2058043553">
      <w:bodyDiv w:val="1"/>
      <w:marLeft w:val="0"/>
      <w:marRight w:val="0"/>
      <w:marTop w:val="0"/>
      <w:marBottom w:val="0"/>
      <w:divBdr>
        <w:top w:val="none" w:sz="0" w:space="0" w:color="auto"/>
        <w:left w:val="none" w:sz="0" w:space="0" w:color="auto"/>
        <w:bottom w:val="none" w:sz="0" w:space="0" w:color="auto"/>
        <w:right w:val="none" w:sz="0" w:space="0" w:color="auto"/>
      </w:divBdr>
    </w:div>
    <w:div w:id="21301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olgestion.errepar.com/sitios/eolgestion/Legislacion/20170105091532242.docxhtml" TargetMode="External"/><Relationship Id="rId18" Type="http://schemas.openxmlformats.org/officeDocument/2006/relationships/hyperlink" Target="http://eolgestion.errepar.com/sitios/eolgestion/Legislacion/20180309095355808.docxhtml" TargetMode="External"/><Relationship Id="rId26" Type="http://schemas.openxmlformats.org/officeDocument/2006/relationships/hyperlink" Target="http://eolgestion.errepar.com/sitios/eolgestion/Legislacion/20240108145036738.docxhtml" TargetMode="External"/><Relationship Id="rId21" Type="http://schemas.openxmlformats.org/officeDocument/2006/relationships/hyperlink" Target="http://eolgestion.errepar.com/sitios/eolgestion/Legislacion/20170815074928530.docx" TargetMode="External"/><Relationship Id="rId34" Type="http://schemas.openxmlformats.org/officeDocument/2006/relationships/hyperlink" Target="http://eolgestion.errepar.com/sitios/eolgestion/Legislacion/20221004060237430.docxhtml" TargetMode="External"/><Relationship Id="rId7" Type="http://schemas.openxmlformats.org/officeDocument/2006/relationships/hyperlink" Target="http://eolgestion.errepar.com/sitios/eolgestion/Legislacion/20180305131729459.docxhtml" TargetMode="External"/><Relationship Id="rId12" Type="http://schemas.openxmlformats.org/officeDocument/2006/relationships/hyperlink" Target="http://eolgestion.errepar.com/sitios/eolgestion/Legislacion/20180309095355808.docxhtml" TargetMode="External"/><Relationship Id="rId17" Type="http://schemas.openxmlformats.org/officeDocument/2006/relationships/hyperlink" Target="http://eolgestion.errepar.com/sitios/eolgestion/Legislacion/20180305131729459.docxhtml" TargetMode="External"/><Relationship Id="rId25" Type="http://schemas.openxmlformats.org/officeDocument/2006/relationships/hyperlink" Target="http://eolgestion.errepar.com/sitios/eolgestion/Legislacion/20180309095355808.docxhtml" TargetMode="External"/><Relationship Id="rId33" Type="http://schemas.openxmlformats.org/officeDocument/2006/relationships/hyperlink" Target="http://eolgestion.errepar.com/sitios/eolgestion/Legislacion/20200114102135357.doc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olgestion.errepar.com/sitios/eolgestion/Legislacion/20240108145036738.docxhtml" TargetMode="External"/><Relationship Id="rId20" Type="http://schemas.openxmlformats.org/officeDocument/2006/relationships/hyperlink" Target="http://eolgestion.errepar.com/sitios/eolgestion/Legislacion/20170815074928530.docx" TargetMode="External"/><Relationship Id="rId29" Type="http://schemas.openxmlformats.org/officeDocument/2006/relationships/hyperlink" Target="http://eolgestion.errepar.com/sitios/eolgestion/Legislacion/20150129151155504.doc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olgestion.errepar.com/sitios/eolgestion/Legislacion/20110807091801271.docxhtml" TargetMode="External"/><Relationship Id="rId24" Type="http://schemas.openxmlformats.org/officeDocument/2006/relationships/hyperlink" Target="http://eolgestion.errepar.com/sitios/eolgestion/Legislacion/20240108145036738.docxhtml" TargetMode="External"/><Relationship Id="rId32" Type="http://schemas.openxmlformats.org/officeDocument/2006/relationships/hyperlink" Target="https://eol.errepar.com/sitios/ver/html/20240112031244832.html?k=%20&amp;V=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olgestion.errepar.com/sitios/eolgestion/Legislacion/20180309095355808.docxhtml" TargetMode="External"/><Relationship Id="rId23" Type="http://schemas.openxmlformats.org/officeDocument/2006/relationships/hyperlink" Target="http://eolgestion.errepar.com/sitios/eolgestion/Agenda/20170106012919411.docxhtml" TargetMode="External"/><Relationship Id="rId28" Type="http://schemas.openxmlformats.org/officeDocument/2006/relationships/hyperlink" Target="http://eolgestion.errepar.com/sitios/eolgestion/Legislacion/20110807091801271.docxhtml" TargetMode="External"/><Relationship Id="rId36" Type="http://schemas.openxmlformats.org/officeDocument/2006/relationships/header" Target="header1.xml"/><Relationship Id="rId10" Type="http://schemas.openxmlformats.org/officeDocument/2006/relationships/hyperlink" Target="http://eolgestion.errepar.com/sitios/eolgestion/Legislacion/20240108145036738.docxhtml" TargetMode="External"/><Relationship Id="rId19" Type="http://schemas.openxmlformats.org/officeDocument/2006/relationships/hyperlink" Target="http://eolgestion.errepar.com/sitios/eolgestion/Legislacion/20240108145036738.docxhtml" TargetMode="External"/><Relationship Id="rId31" Type="http://schemas.openxmlformats.org/officeDocument/2006/relationships/hyperlink" Target="https://eol.errepar.com/sitios/ver/html/20240112031244832.html?k=%20&amp;V=1" TargetMode="External"/><Relationship Id="rId4" Type="http://schemas.openxmlformats.org/officeDocument/2006/relationships/webSettings" Target="webSettings.xml"/><Relationship Id="rId9" Type="http://schemas.openxmlformats.org/officeDocument/2006/relationships/hyperlink" Target="http://eolgestion.errepar.com/sitios/eolgestion/Legislacion/20180309095355808.docxhtml" TargetMode="External"/><Relationship Id="rId14" Type="http://schemas.openxmlformats.org/officeDocument/2006/relationships/hyperlink" Target="http://eolgestion.errepar.com/sitios/eolgestion/Legislacion/20181228104642213.docxhtml" TargetMode="External"/><Relationship Id="rId22" Type="http://schemas.openxmlformats.org/officeDocument/2006/relationships/hyperlink" Target="http://eolgestion.errepar.com/sitios/eolgestion/Legislacion/20170815074928530.docx" TargetMode="External"/><Relationship Id="rId27" Type="http://schemas.openxmlformats.org/officeDocument/2006/relationships/hyperlink" Target="http://eolgestion.errepar.com/sitios/eolgestion/Legislacion/20180605065911839.docxhtml" TargetMode="External"/><Relationship Id="rId30" Type="http://schemas.openxmlformats.org/officeDocument/2006/relationships/hyperlink" Target="https://eol.errepar.com/sitios/ver/html/20240112031244832.html?k=%20&amp;V=1" TargetMode="External"/><Relationship Id="rId35" Type="http://schemas.openxmlformats.org/officeDocument/2006/relationships/hyperlink" Target="http://eolgestion.errepar.com/sitios/eolgestion/Legislacion/20240108145036738.docxhtml" TargetMode="External"/><Relationship Id="rId8" Type="http://schemas.openxmlformats.org/officeDocument/2006/relationships/hyperlink" Target="http://eolgestion.errepar.com/sitios/eolgestion/Legislacion/20160801072214151.docxhtml"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3757</Words>
  <Characters>20666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nbarrientos</dc:creator>
  <cp:lastModifiedBy>Paola Fontao</cp:lastModifiedBy>
  <cp:revision>3</cp:revision>
  <dcterms:created xsi:type="dcterms:W3CDTF">2024-01-29T13:20:00Z</dcterms:created>
  <dcterms:modified xsi:type="dcterms:W3CDTF">2024-01-29T16:23:00Z</dcterms:modified>
</cp:coreProperties>
</file>