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A9" w:rsidRDefault="007F02A9">
      <w:pPr>
        <w:ind w:right="50"/>
        <w:jc w:val="both"/>
        <w:rPr>
          <w:b/>
          <w:sz w:val="22"/>
          <w:u w:val="single"/>
        </w:rPr>
      </w:pPr>
    </w:p>
    <w:p w:rsidR="007C5220" w:rsidRPr="00C772AE" w:rsidRDefault="00C772AE">
      <w:pPr>
        <w:ind w:right="50"/>
        <w:rPr>
          <w:b/>
          <w:sz w:val="24"/>
          <w:szCs w:val="24"/>
          <w:u w:val="single"/>
        </w:rPr>
      </w:pPr>
      <w:r w:rsidRPr="00C772AE">
        <w:rPr>
          <w:b/>
          <w:sz w:val="24"/>
          <w:szCs w:val="24"/>
          <w:u w:val="single"/>
        </w:rPr>
        <w:t xml:space="preserve">CIRCULAR IMPOSITIVA NRO. </w:t>
      </w:r>
      <w:r w:rsidR="00F53A74">
        <w:rPr>
          <w:b/>
          <w:sz w:val="24"/>
          <w:szCs w:val="24"/>
          <w:u w:val="single"/>
        </w:rPr>
        <w:t>12</w:t>
      </w:r>
      <w:r w:rsidR="00654043">
        <w:rPr>
          <w:b/>
          <w:sz w:val="24"/>
          <w:szCs w:val="24"/>
          <w:u w:val="single"/>
        </w:rPr>
        <w:t>15</w:t>
      </w:r>
    </w:p>
    <w:p w:rsidR="00C772AE" w:rsidRPr="00C772AE" w:rsidRDefault="00C772AE">
      <w:pPr>
        <w:ind w:right="50"/>
        <w:rPr>
          <w:b/>
          <w:sz w:val="24"/>
          <w:szCs w:val="24"/>
          <w:u w:val="single"/>
        </w:rPr>
      </w:pPr>
    </w:p>
    <w:p w:rsidR="00C772AE" w:rsidRPr="00C772AE" w:rsidRDefault="00C772AE">
      <w:pPr>
        <w:ind w:right="50"/>
        <w:rPr>
          <w:b/>
          <w:sz w:val="24"/>
          <w:szCs w:val="24"/>
          <w:u w:val="single"/>
        </w:rPr>
      </w:pPr>
    </w:p>
    <w:p w:rsidR="00C772AE" w:rsidRPr="00881851" w:rsidRDefault="00C772AE" w:rsidP="00881851">
      <w:pPr>
        <w:rPr>
          <w:b/>
          <w:i/>
          <w:sz w:val="24"/>
        </w:rPr>
      </w:pPr>
      <w:r w:rsidRPr="00881851">
        <w:rPr>
          <w:b/>
          <w:i/>
          <w:sz w:val="24"/>
        </w:rPr>
        <w:t>Resolución (</w:t>
      </w:r>
      <w:r w:rsidR="007C5220" w:rsidRPr="00881851">
        <w:rPr>
          <w:b/>
          <w:i/>
          <w:sz w:val="24"/>
        </w:rPr>
        <w:t>M</w:t>
      </w:r>
      <w:r w:rsidR="00277329" w:rsidRPr="00881851">
        <w:rPr>
          <w:b/>
          <w:i/>
          <w:sz w:val="24"/>
        </w:rPr>
        <w:t xml:space="preserve">inisterio de </w:t>
      </w:r>
      <w:r w:rsidR="00881851">
        <w:rPr>
          <w:b/>
          <w:i/>
          <w:sz w:val="24"/>
        </w:rPr>
        <w:t>Economía</w:t>
      </w:r>
      <w:r w:rsidRPr="00881851">
        <w:rPr>
          <w:b/>
          <w:i/>
          <w:sz w:val="24"/>
        </w:rPr>
        <w:t>) Nº</w:t>
      </w:r>
      <w:r w:rsidR="007C5220" w:rsidRPr="00881851">
        <w:rPr>
          <w:b/>
          <w:i/>
          <w:sz w:val="24"/>
        </w:rPr>
        <w:t xml:space="preserve"> </w:t>
      </w:r>
      <w:r w:rsidR="00881851">
        <w:rPr>
          <w:b/>
          <w:i/>
          <w:sz w:val="24"/>
        </w:rPr>
        <w:t>3/2024</w:t>
      </w:r>
    </w:p>
    <w:p w:rsidR="00C772AE" w:rsidRPr="00881851" w:rsidRDefault="00C772AE" w:rsidP="00881851">
      <w:pPr>
        <w:rPr>
          <w:b/>
          <w:i/>
          <w:sz w:val="24"/>
        </w:rPr>
      </w:pPr>
      <w:r w:rsidRPr="00881851">
        <w:rPr>
          <w:b/>
          <w:i/>
          <w:sz w:val="24"/>
        </w:rPr>
        <w:t xml:space="preserve">Fecha de Norma: </w:t>
      </w:r>
      <w:r w:rsidR="00881851">
        <w:rPr>
          <w:b/>
          <w:i/>
          <w:sz w:val="24"/>
        </w:rPr>
        <w:t>19/01/2024</w:t>
      </w:r>
    </w:p>
    <w:p w:rsidR="007C5220" w:rsidRPr="00881851" w:rsidRDefault="007C5220" w:rsidP="00881851">
      <w:pPr>
        <w:rPr>
          <w:b/>
          <w:i/>
          <w:sz w:val="24"/>
        </w:rPr>
      </w:pPr>
      <w:r w:rsidRPr="00881851">
        <w:rPr>
          <w:b/>
          <w:i/>
          <w:sz w:val="24"/>
        </w:rPr>
        <w:t xml:space="preserve">Boletín Oficial: </w:t>
      </w:r>
      <w:r w:rsidR="00881851">
        <w:rPr>
          <w:b/>
          <w:i/>
          <w:sz w:val="24"/>
        </w:rPr>
        <w:t>22/01/2024</w:t>
      </w:r>
    </w:p>
    <w:p w:rsidR="007C5220" w:rsidRPr="00881851" w:rsidRDefault="007C5220" w:rsidP="00881851">
      <w:pPr>
        <w:rPr>
          <w:b/>
          <w:i/>
          <w:sz w:val="24"/>
        </w:rPr>
      </w:pPr>
    </w:p>
    <w:p w:rsidR="007C5220" w:rsidRDefault="007C5220" w:rsidP="007C5220"/>
    <w:p w:rsidR="00C772AE" w:rsidRPr="000C60C5" w:rsidRDefault="00C772AE">
      <w:pPr>
        <w:ind w:right="50"/>
        <w:rPr>
          <w:b/>
          <w:sz w:val="24"/>
          <w:szCs w:val="24"/>
        </w:rPr>
      </w:pPr>
    </w:p>
    <w:p w:rsidR="00C772AE" w:rsidRPr="000C60C5" w:rsidRDefault="00277329" w:rsidP="00277329">
      <w:pPr>
        <w:ind w:right="50"/>
        <w:rPr>
          <w:b/>
          <w:sz w:val="24"/>
          <w:szCs w:val="24"/>
          <w:u w:val="single"/>
        </w:rPr>
      </w:pPr>
      <w:r>
        <w:rPr>
          <w:b/>
          <w:sz w:val="24"/>
          <w:szCs w:val="24"/>
          <w:u w:val="single"/>
        </w:rPr>
        <w:t>Procedimiento Fiscal. T</w:t>
      </w:r>
      <w:r w:rsidR="000C60C5" w:rsidRPr="000C60C5">
        <w:rPr>
          <w:b/>
          <w:sz w:val="24"/>
          <w:szCs w:val="24"/>
          <w:u w:val="single"/>
        </w:rPr>
        <w:t xml:space="preserve">asas de </w:t>
      </w:r>
      <w:r w:rsidR="000C60C5">
        <w:rPr>
          <w:b/>
          <w:sz w:val="24"/>
          <w:szCs w:val="24"/>
          <w:u w:val="single"/>
        </w:rPr>
        <w:t>interés</w:t>
      </w:r>
      <w:r w:rsidR="000C60C5" w:rsidRPr="000C60C5">
        <w:rPr>
          <w:b/>
          <w:sz w:val="24"/>
          <w:szCs w:val="24"/>
          <w:u w:val="single"/>
        </w:rPr>
        <w:t xml:space="preserve"> </w:t>
      </w:r>
      <w:r>
        <w:rPr>
          <w:b/>
          <w:sz w:val="24"/>
          <w:szCs w:val="24"/>
          <w:u w:val="single"/>
        </w:rPr>
        <w:t xml:space="preserve">resarcitorio y punitorio. </w:t>
      </w:r>
      <w:r w:rsidR="00F52720">
        <w:rPr>
          <w:b/>
          <w:sz w:val="24"/>
          <w:szCs w:val="24"/>
          <w:u w:val="single"/>
        </w:rPr>
        <w:t>Se incrementan las tasas de interés que cobrará la AFIP a partir del 1ro. de Febrero de 2024</w:t>
      </w:r>
    </w:p>
    <w:p w:rsidR="00C772AE" w:rsidRPr="00C772AE" w:rsidRDefault="00C772AE" w:rsidP="00277329">
      <w:pPr>
        <w:ind w:right="50"/>
        <w:rPr>
          <w:b/>
          <w:i/>
          <w:sz w:val="24"/>
          <w:szCs w:val="24"/>
        </w:rPr>
      </w:pPr>
    </w:p>
    <w:p w:rsidR="00C772AE" w:rsidRPr="00C772AE" w:rsidRDefault="00C772AE" w:rsidP="00A054EC">
      <w:pPr>
        <w:ind w:right="50"/>
        <w:jc w:val="both"/>
        <w:rPr>
          <w:snapToGrid w:val="0"/>
          <w:sz w:val="24"/>
          <w:szCs w:val="24"/>
        </w:rPr>
      </w:pPr>
    </w:p>
    <w:p w:rsidR="00C772AE" w:rsidRDefault="001857CD" w:rsidP="00A054EC">
      <w:pPr>
        <w:ind w:right="50"/>
        <w:jc w:val="both"/>
        <w:rPr>
          <w:sz w:val="24"/>
          <w:szCs w:val="24"/>
        </w:rPr>
      </w:pPr>
      <w:r>
        <w:rPr>
          <w:sz w:val="24"/>
          <w:szCs w:val="24"/>
        </w:rPr>
        <w:t xml:space="preserve">El Ministerio de </w:t>
      </w:r>
      <w:r w:rsidR="00881851">
        <w:rPr>
          <w:sz w:val="24"/>
          <w:szCs w:val="24"/>
        </w:rPr>
        <w:t>Economía</w:t>
      </w:r>
      <w:r w:rsidR="00C772AE" w:rsidRPr="00C772AE">
        <w:rPr>
          <w:sz w:val="24"/>
          <w:szCs w:val="24"/>
        </w:rPr>
        <w:t xml:space="preserve">, a </w:t>
      </w:r>
      <w:r w:rsidR="00C772AE">
        <w:rPr>
          <w:sz w:val="24"/>
          <w:szCs w:val="24"/>
        </w:rPr>
        <w:t xml:space="preserve">través de la Resolución </w:t>
      </w:r>
      <w:r w:rsidR="00881851">
        <w:rPr>
          <w:sz w:val="24"/>
          <w:szCs w:val="24"/>
        </w:rPr>
        <w:t>Nº 3/2024</w:t>
      </w:r>
      <w:r w:rsidR="00C772AE" w:rsidRPr="00C772AE">
        <w:rPr>
          <w:sz w:val="24"/>
          <w:szCs w:val="24"/>
        </w:rPr>
        <w:t xml:space="preserve">, ha dispuesto </w:t>
      </w:r>
      <w:r w:rsidR="000C60C5">
        <w:rPr>
          <w:sz w:val="24"/>
          <w:szCs w:val="24"/>
        </w:rPr>
        <w:t>la modificación</w:t>
      </w:r>
      <w:r w:rsidR="00C772AE" w:rsidRPr="00C772AE">
        <w:rPr>
          <w:sz w:val="24"/>
          <w:szCs w:val="24"/>
        </w:rPr>
        <w:t xml:space="preserve"> de las tas</w:t>
      </w:r>
      <w:r w:rsidR="000C60C5">
        <w:rPr>
          <w:sz w:val="24"/>
          <w:szCs w:val="24"/>
        </w:rPr>
        <w:t>as de interés resarcitorio</w:t>
      </w:r>
      <w:r w:rsidR="00FA1E65">
        <w:rPr>
          <w:sz w:val="24"/>
          <w:szCs w:val="24"/>
        </w:rPr>
        <w:t xml:space="preserve">, </w:t>
      </w:r>
      <w:r w:rsidR="000C60C5">
        <w:rPr>
          <w:sz w:val="24"/>
          <w:szCs w:val="24"/>
        </w:rPr>
        <w:t>punitorio</w:t>
      </w:r>
      <w:r w:rsidR="00C772AE">
        <w:rPr>
          <w:sz w:val="24"/>
          <w:szCs w:val="24"/>
        </w:rPr>
        <w:t xml:space="preserve"> </w:t>
      </w:r>
      <w:r w:rsidR="00FA1E65">
        <w:rPr>
          <w:sz w:val="24"/>
          <w:szCs w:val="24"/>
        </w:rPr>
        <w:t xml:space="preserve">y de repetición de tributos, </w:t>
      </w:r>
      <w:r w:rsidR="00277329">
        <w:rPr>
          <w:sz w:val="24"/>
          <w:szCs w:val="24"/>
        </w:rPr>
        <w:t>previstas en la Ley de Procedimiento Fiscal.</w:t>
      </w:r>
    </w:p>
    <w:p w:rsidR="00AA4FB9" w:rsidRDefault="00AA4FB9" w:rsidP="00277329">
      <w:pPr>
        <w:ind w:right="50"/>
        <w:jc w:val="both"/>
        <w:rPr>
          <w:sz w:val="24"/>
          <w:szCs w:val="24"/>
        </w:rPr>
      </w:pPr>
    </w:p>
    <w:p w:rsidR="00AA4FB9" w:rsidRDefault="00AA4FB9" w:rsidP="00277329">
      <w:pPr>
        <w:ind w:right="50"/>
        <w:jc w:val="both"/>
        <w:rPr>
          <w:sz w:val="24"/>
          <w:szCs w:val="24"/>
        </w:rPr>
      </w:pPr>
      <w:r>
        <w:rPr>
          <w:sz w:val="24"/>
          <w:szCs w:val="24"/>
        </w:rPr>
        <w:t>Las t</w:t>
      </w:r>
      <w:r w:rsidR="00A054EC">
        <w:rPr>
          <w:sz w:val="24"/>
          <w:szCs w:val="24"/>
        </w:rPr>
        <w:t>asas serán actualizadas de manera</w:t>
      </w:r>
      <w:r>
        <w:rPr>
          <w:sz w:val="24"/>
          <w:szCs w:val="24"/>
        </w:rPr>
        <w:t xml:space="preserve"> bimestral.</w:t>
      </w:r>
    </w:p>
    <w:p w:rsidR="000C60C5" w:rsidRDefault="000C60C5" w:rsidP="00277329">
      <w:pPr>
        <w:ind w:right="50"/>
        <w:jc w:val="both"/>
        <w:rPr>
          <w:sz w:val="24"/>
          <w:szCs w:val="24"/>
        </w:rPr>
      </w:pPr>
    </w:p>
    <w:p w:rsidR="000C60C5" w:rsidRPr="00C772AE" w:rsidRDefault="00277329" w:rsidP="00277329">
      <w:pPr>
        <w:ind w:right="50"/>
        <w:jc w:val="both"/>
        <w:rPr>
          <w:sz w:val="24"/>
          <w:szCs w:val="24"/>
        </w:rPr>
      </w:pPr>
      <w:r>
        <w:rPr>
          <w:sz w:val="24"/>
          <w:szCs w:val="24"/>
        </w:rPr>
        <w:t>A tal efecto, se establece que l</w:t>
      </w:r>
      <w:r w:rsidR="000C60C5">
        <w:rPr>
          <w:sz w:val="24"/>
          <w:szCs w:val="24"/>
        </w:rPr>
        <w:t xml:space="preserve">as tasas vigentes en cada </w:t>
      </w:r>
      <w:r w:rsidR="00881851">
        <w:rPr>
          <w:sz w:val="24"/>
          <w:szCs w:val="24"/>
        </w:rPr>
        <w:t>bimestre</w:t>
      </w:r>
      <w:r w:rsidR="000C60C5">
        <w:rPr>
          <w:sz w:val="24"/>
          <w:szCs w:val="24"/>
        </w:rPr>
        <w:t xml:space="preserve"> serán las siguientes:</w:t>
      </w:r>
    </w:p>
    <w:p w:rsidR="00C772AE" w:rsidRPr="00C772AE" w:rsidRDefault="00C772AE" w:rsidP="00277329">
      <w:pPr>
        <w:ind w:right="50"/>
        <w:jc w:val="both"/>
        <w:rPr>
          <w:sz w:val="24"/>
          <w:szCs w:val="24"/>
        </w:rPr>
      </w:pPr>
    </w:p>
    <w:p w:rsidR="00C772AE" w:rsidRDefault="00277329" w:rsidP="00881851">
      <w:pPr>
        <w:numPr>
          <w:ilvl w:val="0"/>
          <w:numId w:val="2"/>
        </w:numPr>
        <w:ind w:left="426" w:right="50"/>
        <w:jc w:val="both"/>
        <w:rPr>
          <w:sz w:val="24"/>
          <w:szCs w:val="24"/>
        </w:rPr>
      </w:pPr>
      <w:r>
        <w:rPr>
          <w:sz w:val="24"/>
          <w:szCs w:val="24"/>
          <w:u w:val="single"/>
        </w:rPr>
        <w:t xml:space="preserve">Tasa de </w:t>
      </w:r>
      <w:r w:rsidR="0087708B" w:rsidRPr="000C60C5">
        <w:rPr>
          <w:sz w:val="24"/>
          <w:szCs w:val="24"/>
          <w:u w:val="single"/>
        </w:rPr>
        <w:t>In</w:t>
      </w:r>
      <w:r w:rsidR="0087708B">
        <w:rPr>
          <w:sz w:val="24"/>
          <w:szCs w:val="24"/>
          <w:u w:val="single"/>
        </w:rPr>
        <w:t>terés</w:t>
      </w:r>
      <w:r w:rsidR="009E056D" w:rsidRPr="000C60C5">
        <w:rPr>
          <w:sz w:val="24"/>
          <w:szCs w:val="24"/>
          <w:u w:val="single"/>
        </w:rPr>
        <w:t xml:space="preserve"> Resarcitorio</w:t>
      </w:r>
      <w:r>
        <w:rPr>
          <w:sz w:val="24"/>
          <w:szCs w:val="24"/>
          <w:u w:val="single"/>
        </w:rPr>
        <w:t xml:space="preserve"> mensual</w:t>
      </w:r>
      <w:r w:rsidR="009E056D" w:rsidRPr="000C60C5">
        <w:rPr>
          <w:sz w:val="24"/>
          <w:szCs w:val="24"/>
        </w:rPr>
        <w:t>:</w:t>
      </w:r>
      <w:r w:rsidR="000C60C5" w:rsidRPr="000C60C5">
        <w:rPr>
          <w:sz w:val="24"/>
          <w:szCs w:val="24"/>
        </w:rPr>
        <w:t xml:space="preserve"> s</w:t>
      </w:r>
      <w:r w:rsidR="00881851" w:rsidRPr="00881851">
        <w:rPr>
          <w:sz w:val="24"/>
          <w:szCs w:val="24"/>
        </w:rPr>
        <w:t>erá equivalente a una coma tres (1,3) veces la tasa activa efectiva mensual de descubiertos en cuenta corriente no solicitado previamente del Banco de la Nación Argentina, vigente el día veinte (20) del mes inmediato anterior al inicio del referido bimestre.</w:t>
      </w:r>
    </w:p>
    <w:p w:rsidR="00881851" w:rsidRPr="000C60C5" w:rsidRDefault="00881851" w:rsidP="00881851">
      <w:pPr>
        <w:ind w:left="426" w:right="50"/>
        <w:jc w:val="both"/>
        <w:rPr>
          <w:sz w:val="24"/>
          <w:szCs w:val="24"/>
        </w:rPr>
      </w:pPr>
    </w:p>
    <w:p w:rsidR="00881851" w:rsidRDefault="00277329" w:rsidP="001D4E76">
      <w:pPr>
        <w:numPr>
          <w:ilvl w:val="0"/>
          <w:numId w:val="2"/>
        </w:numPr>
        <w:ind w:left="426" w:right="50"/>
        <w:jc w:val="both"/>
        <w:rPr>
          <w:sz w:val="24"/>
          <w:szCs w:val="24"/>
        </w:rPr>
      </w:pPr>
      <w:r>
        <w:rPr>
          <w:sz w:val="24"/>
          <w:szCs w:val="24"/>
          <w:u w:val="single"/>
        </w:rPr>
        <w:t xml:space="preserve">Tasa de </w:t>
      </w:r>
      <w:r w:rsidR="0087708B">
        <w:rPr>
          <w:sz w:val="24"/>
          <w:szCs w:val="24"/>
          <w:u w:val="single"/>
        </w:rPr>
        <w:t>Interés</w:t>
      </w:r>
      <w:r w:rsidR="009E056D" w:rsidRPr="000C60C5">
        <w:rPr>
          <w:sz w:val="24"/>
          <w:szCs w:val="24"/>
          <w:u w:val="single"/>
        </w:rPr>
        <w:t xml:space="preserve"> Punitorio</w:t>
      </w:r>
      <w:r>
        <w:rPr>
          <w:sz w:val="24"/>
          <w:szCs w:val="24"/>
          <w:u w:val="single"/>
        </w:rPr>
        <w:t xml:space="preserve"> mensual</w:t>
      </w:r>
      <w:r w:rsidR="009E056D" w:rsidRPr="000C60C5">
        <w:rPr>
          <w:sz w:val="24"/>
          <w:szCs w:val="24"/>
        </w:rPr>
        <w:t xml:space="preserve">: </w:t>
      </w:r>
      <w:r w:rsidR="000C60C5" w:rsidRPr="000C60C5">
        <w:rPr>
          <w:sz w:val="24"/>
          <w:szCs w:val="24"/>
        </w:rPr>
        <w:t>s</w:t>
      </w:r>
      <w:r w:rsidR="00881851" w:rsidRPr="00881851">
        <w:rPr>
          <w:sz w:val="24"/>
          <w:szCs w:val="24"/>
        </w:rPr>
        <w:t>erá equivalente a una coma cinco (1,5) veces la tasa activa efectiva mensual de descubiertos en cuenta corriente no solicitado previamente del Banco de la Nación Argentina, vigente el día veinte (20) del mes inmediato anterior al inicio del refer</w:t>
      </w:r>
      <w:r w:rsidR="00881851">
        <w:rPr>
          <w:sz w:val="24"/>
          <w:szCs w:val="24"/>
        </w:rPr>
        <w:t>ido bimestre.</w:t>
      </w:r>
    </w:p>
    <w:p w:rsidR="00AA4FB9" w:rsidRDefault="00AA4FB9" w:rsidP="00AA4FB9">
      <w:pPr>
        <w:pStyle w:val="Prrafodelista"/>
        <w:rPr>
          <w:sz w:val="24"/>
          <w:szCs w:val="24"/>
        </w:rPr>
      </w:pPr>
    </w:p>
    <w:p w:rsidR="00AA4FB9" w:rsidRDefault="00AA4FB9" w:rsidP="001D4E76">
      <w:pPr>
        <w:numPr>
          <w:ilvl w:val="0"/>
          <w:numId w:val="2"/>
        </w:numPr>
        <w:ind w:left="426" w:right="50"/>
        <w:jc w:val="both"/>
        <w:rPr>
          <w:sz w:val="24"/>
          <w:szCs w:val="24"/>
        </w:rPr>
      </w:pPr>
      <w:r w:rsidRPr="007137D7">
        <w:rPr>
          <w:sz w:val="24"/>
          <w:szCs w:val="24"/>
          <w:u w:val="single"/>
        </w:rPr>
        <w:t>Interés aplicable a la repetición de tributos y a los supuestos de devolución</w:t>
      </w:r>
      <w:r w:rsidR="00A054EC">
        <w:rPr>
          <w:sz w:val="24"/>
          <w:szCs w:val="24"/>
        </w:rPr>
        <w:t>: será equivalente a la tasa efectiva m</w:t>
      </w:r>
      <w:bookmarkStart w:id="0" w:name="_GoBack"/>
      <w:bookmarkEnd w:id="0"/>
      <w:r>
        <w:rPr>
          <w:sz w:val="24"/>
          <w:szCs w:val="24"/>
        </w:rPr>
        <w:t>ensual surgida de considerar el promedio de la tasa publicada por el BCRA</w:t>
      </w:r>
      <w:r w:rsidR="007137D7">
        <w:rPr>
          <w:sz w:val="24"/>
          <w:szCs w:val="24"/>
        </w:rPr>
        <w:t xml:space="preserve"> en el apartado “Tasas de interés por depósitos a 30 días de plazo en entidades financieras” para el período de 30 días finalizado el día 20 del mes inmediato anterior al inicio de referido bimestre.</w:t>
      </w:r>
    </w:p>
    <w:p w:rsidR="001D4E76" w:rsidRDefault="001D4E76" w:rsidP="00881851">
      <w:pPr>
        <w:ind w:right="50"/>
        <w:jc w:val="both"/>
        <w:rPr>
          <w:sz w:val="24"/>
          <w:szCs w:val="24"/>
        </w:rPr>
      </w:pPr>
    </w:p>
    <w:p w:rsidR="001D4E76" w:rsidRDefault="00881851" w:rsidP="001D4E76">
      <w:pPr>
        <w:ind w:right="50"/>
        <w:jc w:val="both"/>
        <w:rPr>
          <w:sz w:val="24"/>
          <w:szCs w:val="24"/>
        </w:rPr>
      </w:pPr>
      <w:r>
        <w:rPr>
          <w:sz w:val="24"/>
          <w:szCs w:val="24"/>
        </w:rPr>
        <w:t xml:space="preserve">Las tasas de interés previstas anteriormente serán publicadas al inicio de cada </w:t>
      </w:r>
      <w:r w:rsidRPr="00881851">
        <w:rPr>
          <w:sz w:val="24"/>
          <w:szCs w:val="24"/>
        </w:rPr>
        <w:t>bimestre</w:t>
      </w:r>
      <w:r>
        <w:rPr>
          <w:sz w:val="24"/>
          <w:szCs w:val="24"/>
        </w:rPr>
        <w:t xml:space="preserve"> en el sitio web de la AFIP</w:t>
      </w:r>
      <w:r w:rsidR="00654043">
        <w:rPr>
          <w:sz w:val="24"/>
          <w:szCs w:val="24"/>
        </w:rPr>
        <w:t xml:space="preserve"> (</w:t>
      </w:r>
      <w:hyperlink r:id="rId7" w:anchor="tasasEvolucion" w:history="1">
        <w:r w:rsidR="00654043" w:rsidRPr="00654043">
          <w:rPr>
            <w:rStyle w:val="Hipervnculo"/>
            <w:sz w:val="24"/>
            <w:szCs w:val="24"/>
          </w:rPr>
          <w:t>link</w:t>
        </w:r>
      </w:hyperlink>
      <w:r w:rsidR="00654043">
        <w:rPr>
          <w:sz w:val="24"/>
          <w:szCs w:val="24"/>
        </w:rPr>
        <w:t>)</w:t>
      </w:r>
      <w:r>
        <w:rPr>
          <w:sz w:val="24"/>
          <w:szCs w:val="24"/>
        </w:rPr>
        <w:t>.</w:t>
      </w:r>
      <w:r w:rsidR="00654043">
        <w:rPr>
          <w:sz w:val="24"/>
          <w:szCs w:val="24"/>
        </w:rPr>
        <w:t xml:space="preserve"> E</w:t>
      </w:r>
      <w:r w:rsidR="001D4E76">
        <w:rPr>
          <w:sz w:val="24"/>
          <w:szCs w:val="24"/>
        </w:rPr>
        <w:t>l primer bimestre que establece la norma, comienza el 01/02/2024 y finaliza el 31/03/2024.</w:t>
      </w:r>
    </w:p>
    <w:p w:rsidR="00881851" w:rsidRDefault="00881851" w:rsidP="00881851">
      <w:pPr>
        <w:ind w:right="50"/>
        <w:jc w:val="both"/>
        <w:rPr>
          <w:sz w:val="24"/>
          <w:szCs w:val="24"/>
        </w:rPr>
      </w:pPr>
    </w:p>
    <w:p w:rsidR="00881851" w:rsidRDefault="00881851" w:rsidP="00881851">
      <w:pPr>
        <w:pStyle w:val="Prrafodelista"/>
        <w:ind w:left="0" w:right="50"/>
        <w:jc w:val="both"/>
        <w:rPr>
          <w:sz w:val="24"/>
          <w:szCs w:val="24"/>
        </w:rPr>
      </w:pPr>
      <w:r>
        <w:rPr>
          <w:sz w:val="24"/>
          <w:szCs w:val="24"/>
        </w:rPr>
        <w:t>La tasa de interés diaria a aplicar resultará de dividir la tasa mensual que corresponda por 30.</w:t>
      </w:r>
    </w:p>
    <w:p w:rsidR="00881851" w:rsidRDefault="00881851" w:rsidP="00881851">
      <w:pPr>
        <w:ind w:right="50"/>
        <w:jc w:val="both"/>
        <w:rPr>
          <w:sz w:val="24"/>
          <w:szCs w:val="24"/>
        </w:rPr>
      </w:pPr>
    </w:p>
    <w:p w:rsidR="007137D7" w:rsidRDefault="007137D7">
      <w:pPr>
        <w:widowControl/>
        <w:rPr>
          <w:sz w:val="24"/>
          <w:szCs w:val="24"/>
        </w:rPr>
      </w:pPr>
      <w:r>
        <w:rPr>
          <w:sz w:val="24"/>
          <w:szCs w:val="24"/>
        </w:rPr>
        <w:br w:type="page"/>
      </w:r>
    </w:p>
    <w:p w:rsidR="00881851" w:rsidRDefault="00881851" w:rsidP="00881851">
      <w:pPr>
        <w:ind w:right="50"/>
        <w:jc w:val="both"/>
        <w:rPr>
          <w:sz w:val="24"/>
          <w:szCs w:val="24"/>
        </w:rPr>
      </w:pPr>
      <w:r>
        <w:rPr>
          <w:sz w:val="24"/>
          <w:szCs w:val="24"/>
        </w:rPr>
        <w:lastRenderedPageBreak/>
        <w:t>C</w:t>
      </w:r>
      <w:r w:rsidRPr="00881851">
        <w:rPr>
          <w:sz w:val="24"/>
          <w:szCs w:val="24"/>
        </w:rPr>
        <w:t>uando las obligaciones de que se trate se encuentren expresadas en dólares estadounidenses o deban abonarse de acuerdo con el monto de categorías u otros conceptos similares vigentes</w:t>
      </w:r>
      <w:r>
        <w:rPr>
          <w:sz w:val="24"/>
          <w:szCs w:val="24"/>
        </w:rPr>
        <w:t xml:space="preserve"> a la fecha de su efectivo pago, las tasas de interés aplicables en estos casos, </w:t>
      </w:r>
      <w:r w:rsidRPr="00881851">
        <w:rPr>
          <w:sz w:val="24"/>
          <w:szCs w:val="24"/>
        </w:rPr>
        <w:t>serán</w:t>
      </w:r>
      <w:r>
        <w:rPr>
          <w:sz w:val="24"/>
          <w:szCs w:val="24"/>
        </w:rPr>
        <w:t xml:space="preserve"> las siguiente:</w:t>
      </w:r>
    </w:p>
    <w:p w:rsidR="00881851" w:rsidRDefault="00881851" w:rsidP="00881851">
      <w:pPr>
        <w:ind w:right="50"/>
        <w:jc w:val="both"/>
        <w:rPr>
          <w:sz w:val="24"/>
          <w:szCs w:val="24"/>
        </w:rPr>
      </w:pPr>
    </w:p>
    <w:p w:rsidR="00881851" w:rsidRPr="00881851" w:rsidRDefault="00881851" w:rsidP="00E528DF">
      <w:pPr>
        <w:numPr>
          <w:ilvl w:val="0"/>
          <w:numId w:val="2"/>
        </w:numPr>
        <w:ind w:left="426" w:right="50"/>
        <w:jc w:val="both"/>
        <w:rPr>
          <w:sz w:val="24"/>
          <w:szCs w:val="24"/>
        </w:rPr>
      </w:pPr>
      <w:r w:rsidRPr="00881851">
        <w:rPr>
          <w:sz w:val="24"/>
          <w:szCs w:val="24"/>
          <w:u w:val="single"/>
        </w:rPr>
        <w:t>Tasa de Interés Resarcitorio mensual</w:t>
      </w:r>
      <w:r w:rsidRPr="00881851">
        <w:rPr>
          <w:sz w:val="24"/>
          <w:szCs w:val="24"/>
        </w:rPr>
        <w:t xml:space="preserve">: </w:t>
      </w:r>
      <w:r>
        <w:rPr>
          <w:sz w:val="24"/>
          <w:szCs w:val="24"/>
        </w:rPr>
        <w:t xml:space="preserve">del </w:t>
      </w:r>
      <w:r w:rsidRPr="00881851">
        <w:rPr>
          <w:sz w:val="24"/>
          <w:szCs w:val="24"/>
        </w:rPr>
        <w:t>cero coma ochenta y tres por ciento (0,83 %)</w:t>
      </w:r>
      <w:r>
        <w:rPr>
          <w:sz w:val="24"/>
          <w:szCs w:val="24"/>
        </w:rPr>
        <w:t>.</w:t>
      </w:r>
    </w:p>
    <w:p w:rsidR="00277329" w:rsidRDefault="00881851" w:rsidP="00881851">
      <w:pPr>
        <w:numPr>
          <w:ilvl w:val="0"/>
          <w:numId w:val="2"/>
        </w:numPr>
        <w:ind w:left="420" w:right="50"/>
        <w:jc w:val="both"/>
        <w:rPr>
          <w:sz w:val="24"/>
          <w:szCs w:val="24"/>
        </w:rPr>
      </w:pPr>
      <w:r>
        <w:rPr>
          <w:sz w:val="24"/>
          <w:szCs w:val="24"/>
          <w:u w:val="single"/>
        </w:rPr>
        <w:t>Tasa de Interés</w:t>
      </w:r>
      <w:r w:rsidRPr="000C60C5">
        <w:rPr>
          <w:sz w:val="24"/>
          <w:szCs w:val="24"/>
          <w:u w:val="single"/>
        </w:rPr>
        <w:t xml:space="preserve"> Punitorio</w:t>
      </w:r>
      <w:r>
        <w:rPr>
          <w:sz w:val="24"/>
          <w:szCs w:val="24"/>
          <w:u w:val="single"/>
        </w:rPr>
        <w:t xml:space="preserve"> mensual</w:t>
      </w:r>
      <w:r w:rsidRPr="000C60C5">
        <w:rPr>
          <w:sz w:val="24"/>
          <w:szCs w:val="24"/>
        </w:rPr>
        <w:t xml:space="preserve">: </w:t>
      </w:r>
      <w:r w:rsidR="007137D7">
        <w:rPr>
          <w:sz w:val="24"/>
          <w:szCs w:val="24"/>
        </w:rPr>
        <w:t>del uno por ciento (1 %)</w:t>
      </w:r>
    </w:p>
    <w:p w:rsidR="003F2BDB" w:rsidRDefault="007137D7" w:rsidP="00615DB3">
      <w:pPr>
        <w:widowControl/>
        <w:numPr>
          <w:ilvl w:val="0"/>
          <w:numId w:val="2"/>
        </w:numPr>
        <w:ind w:left="420" w:right="50"/>
        <w:jc w:val="both"/>
        <w:rPr>
          <w:sz w:val="24"/>
          <w:szCs w:val="24"/>
        </w:rPr>
      </w:pPr>
      <w:r w:rsidRPr="003F2BDB">
        <w:rPr>
          <w:sz w:val="24"/>
          <w:szCs w:val="24"/>
          <w:u w:val="single"/>
        </w:rPr>
        <w:t>Tasa mensual aplicable a la repetición de tributos</w:t>
      </w:r>
      <w:r w:rsidRPr="003F2BDB">
        <w:rPr>
          <w:sz w:val="24"/>
          <w:szCs w:val="24"/>
        </w:rPr>
        <w:t>: (0,20%)</w:t>
      </w:r>
    </w:p>
    <w:p w:rsidR="003F2BDB" w:rsidRDefault="003F2BDB" w:rsidP="003F2BDB">
      <w:pPr>
        <w:widowControl/>
        <w:ind w:left="60" w:right="50"/>
        <w:jc w:val="both"/>
        <w:rPr>
          <w:sz w:val="24"/>
          <w:szCs w:val="24"/>
        </w:rPr>
      </w:pPr>
    </w:p>
    <w:p w:rsidR="003F2BDB" w:rsidRDefault="003F2BDB" w:rsidP="003F2BDB">
      <w:pPr>
        <w:widowControl/>
        <w:ind w:left="60" w:right="50"/>
        <w:jc w:val="both"/>
        <w:rPr>
          <w:sz w:val="24"/>
          <w:szCs w:val="24"/>
        </w:rPr>
      </w:pPr>
    </w:p>
    <w:p w:rsidR="00E2024C" w:rsidRPr="003F2BDB" w:rsidRDefault="006341D2" w:rsidP="003F2BDB">
      <w:pPr>
        <w:widowControl/>
        <w:ind w:left="60" w:right="50"/>
        <w:jc w:val="both"/>
        <w:rPr>
          <w:sz w:val="24"/>
          <w:szCs w:val="24"/>
        </w:rPr>
      </w:pPr>
      <w:r w:rsidRPr="003F2BDB">
        <w:rPr>
          <w:sz w:val="24"/>
          <w:szCs w:val="24"/>
        </w:rPr>
        <w:t xml:space="preserve">Para la cancelación de las obligaciones cuyo vencimiento hubiera operado antes de </w:t>
      </w:r>
      <w:r w:rsidR="002D257D" w:rsidRPr="003F2BDB">
        <w:rPr>
          <w:sz w:val="24"/>
          <w:szCs w:val="24"/>
        </w:rPr>
        <w:t>la fecha de entrada en vigencia de la presente norma</w:t>
      </w:r>
      <w:r w:rsidR="000B0F12" w:rsidRPr="003F2BDB">
        <w:rPr>
          <w:sz w:val="24"/>
          <w:szCs w:val="24"/>
        </w:rPr>
        <w:t xml:space="preserve"> (01/0</w:t>
      </w:r>
      <w:r w:rsidR="00D90733" w:rsidRPr="003F2BDB">
        <w:rPr>
          <w:sz w:val="24"/>
          <w:szCs w:val="24"/>
        </w:rPr>
        <w:t>2/2024</w:t>
      </w:r>
      <w:r w:rsidR="000B0F12" w:rsidRPr="003F2BDB">
        <w:rPr>
          <w:sz w:val="24"/>
          <w:szCs w:val="24"/>
        </w:rPr>
        <w:t>)</w:t>
      </w:r>
      <w:r w:rsidRPr="003F2BDB">
        <w:rPr>
          <w:sz w:val="24"/>
          <w:szCs w:val="24"/>
        </w:rPr>
        <w:t xml:space="preserve">, se deberán aplicar los regímenes vigentes durante cada uno de los períodos </w:t>
      </w:r>
      <w:r w:rsidR="001E2BBD" w:rsidRPr="003F2BDB">
        <w:rPr>
          <w:sz w:val="24"/>
          <w:szCs w:val="24"/>
        </w:rPr>
        <w:t>que estos alcancen</w:t>
      </w:r>
      <w:r w:rsidRPr="003F2BDB">
        <w:rPr>
          <w:sz w:val="24"/>
          <w:szCs w:val="24"/>
        </w:rPr>
        <w:t>.</w:t>
      </w:r>
    </w:p>
    <w:p w:rsidR="001857CD" w:rsidRDefault="001857CD" w:rsidP="00277329">
      <w:pPr>
        <w:ind w:right="50"/>
        <w:jc w:val="both"/>
        <w:rPr>
          <w:sz w:val="24"/>
          <w:szCs w:val="24"/>
        </w:rPr>
      </w:pPr>
    </w:p>
    <w:p w:rsidR="00B862C1" w:rsidRDefault="00B862C1" w:rsidP="000B0F12">
      <w:pPr>
        <w:pStyle w:val="Prrafodelista"/>
        <w:ind w:left="0" w:right="50"/>
        <w:jc w:val="both"/>
        <w:rPr>
          <w:sz w:val="24"/>
          <w:szCs w:val="24"/>
        </w:rPr>
      </w:pPr>
      <w:r>
        <w:rPr>
          <w:sz w:val="24"/>
          <w:szCs w:val="24"/>
        </w:rPr>
        <w:t>Asimismo</w:t>
      </w:r>
      <w:r w:rsidR="003F2BDB">
        <w:rPr>
          <w:sz w:val="24"/>
          <w:szCs w:val="24"/>
        </w:rPr>
        <w:t xml:space="preserve">, </w:t>
      </w:r>
      <w:r>
        <w:rPr>
          <w:sz w:val="24"/>
          <w:szCs w:val="24"/>
        </w:rPr>
        <w:t>se destaca que:</w:t>
      </w:r>
    </w:p>
    <w:p w:rsidR="00B862C1" w:rsidRDefault="00B862C1" w:rsidP="000B0F12">
      <w:pPr>
        <w:pStyle w:val="Prrafodelista"/>
        <w:ind w:left="0" w:right="50"/>
        <w:jc w:val="both"/>
        <w:rPr>
          <w:sz w:val="24"/>
          <w:szCs w:val="24"/>
        </w:rPr>
      </w:pPr>
    </w:p>
    <w:p w:rsidR="00B862C1" w:rsidRPr="00B862C1" w:rsidRDefault="00AA4FB9" w:rsidP="00277329">
      <w:pPr>
        <w:pStyle w:val="Prrafodelista"/>
        <w:numPr>
          <w:ilvl w:val="0"/>
          <w:numId w:val="14"/>
        </w:numPr>
        <w:ind w:right="50"/>
        <w:jc w:val="both"/>
        <w:rPr>
          <w:sz w:val="24"/>
          <w:szCs w:val="24"/>
        </w:rPr>
      </w:pPr>
      <w:r w:rsidRPr="00AA4FB9">
        <w:rPr>
          <w:b/>
          <w:sz w:val="24"/>
          <w:szCs w:val="24"/>
          <w:u w:val="single"/>
        </w:rPr>
        <w:t>Desde el 01/09/2022 hasta el</w:t>
      </w:r>
      <w:r>
        <w:rPr>
          <w:sz w:val="24"/>
          <w:szCs w:val="24"/>
        </w:rPr>
        <w:t xml:space="preserve"> </w:t>
      </w:r>
      <w:r w:rsidR="000B0F12" w:rsidRPr="00924737">
        <w:rPr>
          <w:b/>
          <w:sz w:val="24"/>
          <w:szCs w:val="24"/>
          <w:u w:val="single"/>
        </w:rPr>
        <w:t>31/0</w:t>
      </w:r>
      <w:r w:rsidR="00D90733">
        <w:rPr>
          <w:b/>
          <w:sz w:val="24"/>
          <w:szCs w:val="24"/>
          <w:u w:val="single"/>
        </w:rPr>
        <w:t>1</w:t>
      </w:r>
      <w:r w:rsidR="000B0F12" w:rsidRPr="00924737">
        <w:rPr>
          <w:b/>
          <w:sz w:val="24"/>
          <w:szCs w:val="24"/>
          <w:u w:val="single"/>
        </w:rPr>
        <w:t>/20</w:t>
      </w:r>
      <w:r w:rsidR="00D90733">
        <w:rPr>
          <w:b/>
          <w:sz w:val="24"/>
          <w:szCs w:val="24"/>
          <w:u w:val="single"/>
        </w:rPr>
        <w:t>24</w:t>
      </w:r>
      <w:r w:rsidR="000B0F12">
        <w:rPr>
          <w:sz w:val="24"/>
          <w:szCs w:val="24"/>
        </w:rPr>
        <w:t xml:space="preserve"> </w:t>
      </w:r>
      <w:r>
        <w:rPr>
          <w:sz w:val="24"/>
          <w:szCs w:val="24"/>
        </w:rPr>
        <w:t xml:space="preserve">las tasas vigentes eran: </w:t>
      </w:r>
      <w:r w:rsidR="000B0F12" w:rsidRPr="00B862C1">
        <w:rPr>
          <w:sz w:val="24"/>
          <w:szCs w:val="24"/>
          <w:u w:val="single"/>
        </w:rPr>
        <w:t xml:space="preserve">interés resarcitorio </w:t>
      </w:r>
      <w:r w:rsidR="001D4E76" w:rsidRPr="00B862C1">
        <w:rPr>
          <w:sz w:val="24"/>
          <w:szCs w:val="24"/>
          <w:u w:val="single"/>
        </w:rPr>
        <w:t xml:space="preserve">mensual </w:t>
      </w:r>
      <w:r w:rsidR="000B0F12" w:rsidRPr="00B862C1">
        <w:rPr>
          <w:sz w:val="24"/>
          <w:szCs w:val="24"/>
          <w:u w:val="single"/>
        </w:rPr>
        <w:t xml:space="preserve">el </w:t>
      </w:r>
      <w:r w:rsidR="00D90733" w:rsidRPr="00B862C1">
        <w:rPr>
          <w:sz w:val="24"/>
          <w:szCs w:val="24"/>
          <w:u w:val="single"/>
        </w:rPr>
        <w:t>5,91</w:t>
      </w:r>
      <w:r w:rsidR="000B0F12" w:rsidRPr="00B862C1">
        <w:rPr>
          <w:sz w:val="24"/>
          <w:szCs w:val="24"/>
          <w:u w:val="single"/>
        </w:rPr>
        <w:t>%</w:t>
      </w:r>
      <w:r w:rsidR="000B0F12" w:rsidRPr="00B862C1">
        <w:rPr>
          <w:sz w:val="24"/>
          <w:szCs w:val="24"/>
        </w:rPr>
        <w:t xml:space="preserve"> y como </w:t>
      </w:r>
      <w:r w:rsidR="000B0F12" w:rsidRPr="00B862C1">
        <w:rPr>
          <w:sz w:val="24"/>
          <w:szCs w:val="24"/>
          <w:u w:val="single"/>
        </w:rPr>
        <w:t xml:space="preserve">interés punitorio mensual el </w:t>
      </w:r>
      <w:r w:rsidR="00D90733" w:rsidRPr="00B862C1">
        <w:rPr>
          <w:sz w:val="24"/>
          <w:szCs w:val="24"/>
          <w:u w:val="single"/>
        </w:rPr>
        <w:t>7,37</w:t>
      </w:r>
      <w:r w:rsidR="000B0F12" w:rsidRPr="00B862C1">
        <w:rPr>
          <w:sz w:val="24"/>
          <w:szCs w:val="24"/>
          <w:u w:val="single"/>
        </w:rPr>
        <w:t>%.</w:t>
      </w:r>
    </w:p>
    <w:p w:rsidR="00B862C1" w:rsidRDefault="00B862C1" w:rsidP="00B862C1">
      <w:pPr>
        <w:pStyle w:val="Prrafodelista"/>
        <w:ind w:left="720" w:right="50"/>
        <w:jc w:val="both"/>
        <w:rPr>
          <w:sz w:val="24"/>
          <w:szCs w:val="24"/>
        </w:rPr>
      </w:pPr>
    </w:p>
    <w:p w:rsidR="00B862C1" w:rsidRPr="00654043" w:rsidRDefault="00B862C1" w:rsidP="00B862C1">
      <w:pPr>
        <w:pStyle w:val="Prrafodelista"/>
        <w:numPr>
          <w:ilvl w:val="0"/>
          <w:numId w:val="14"/>
        </w:numPr>
        <w:ind w:right="50"/>
        <w:jc w:val="both"/>
        <w:rPr>
          <w:sz w:val="24"/>
          <w:szCs w:val="24"/>
        </w:rPr>
      </w:pPr>
      <w:r w:rsidRPr="00654043">
        <w:rPr>
          <w:b/>
          <w:sz w:val="24"/>
          <w:szCs w:val="24"/>
          <w:u w:val="single"/>
        </w:rPr>
        <w:t>A partir del 01/02/</w:t>
      </w:r>
      <w:r w:rsidRPr="00AA4FB9">
        <w:rPr>
          <w:b/>
          <w:sz w:val="24"/>
          <w:szCs w:val="24"/>
          <w:u w:val="single"/>
        </w:rPr>
        <w:t xml:space="preserve">2024, </w:t>
      </w:r>
      <w:r w:rsidR="00AA4FB9" w:rsidRPr="00AA4FB9">
        <w:rPr>
          <w:b/>
          <w:sz w:val="24"/>
          <w:szCs w:val="24"/>
          <w:u w:val="single"/>
        </w:rPr>
        <w:t>hasta el 31/03/2024</w:t>
      </w:r>
      <w:r w:rsidR="00AA4FB9">
        <w:rPr>
          <w:sz w:val="24"/>
          <w:szCs w:val="24"/>
        </w:rPr>
        <w:t xml:space="preserve"> </w:t>
      </w:r>
      <w:r w:rsidRPr="00654043">
        <w:rPr>
          <w:sz w:val="24"/>
          <w:szCs w:val="24"/>
        </w:rPr>
        <w:t xml:space="preserve">se aplicará como </w:t>
      </w:r>
      <w:r w:rsidRPr="00654043">
        <w:rPr>
          <w:b/>
          <w:sz w:val="24"/>
          <w:szCs w:val="24"/>
          <w:u w:val="single"/>
        </w:rPr>
        <w:t>interé</w:t>
      </w:r>
      <w:r w:rsidR="00654043" w:rsidRPr="00654043">
        <w:rPr>
          <w:b/>
          <w:sz w:val="24"/>
          <w:szCs w:val="24"/>
          <w:u w:val="single"/>
        </w:rPr>
        <w:t>s resarcitorio mensual el 15,27</w:t>
      </w:r>
      <w:r w:rsidRPr="00654043">
        <w:rPr>
          <w:b/>
          <w:sz w:val="24"/>
          <w:szCs w:val="24"/>
          <w:u w:val="single"/>
        </w:rPr>
        <w:t>%</w:t>
      </w:r>
      <w:r w:rsidRPr="00654043">
        <w:rPr>
          <w:sz w:val="24"/>
          <w:szCs w:val="24"/>
        </w:rPr>
        <w:t xml:space="preserve"> y como </w:t>
      </w:r>
      <w:r w:rsidRPr="00654043">
        <w:rPr>
          <w:b/>
          <w:sz w:val="24"/>
          <w:szCs w:val="24"/>
          <w:u w:val="single"/>
        </w:rPr>
        <w:t>interés punitorio mensual el 17,62%.</w:t>
      </w:r>
    </w:p>
    <w:p w:rsidR="00F45A07" w:rsidRDefault="00F45A07" w:rsidP="00277329">
      <w:pPr>
        <w:ind w:right="50"/>
        <w:jc w:val="both"/>
        <w:rPr>
          <w:sz w:val="24"/>
          <w:szCs w:val="24"/>
        </w:rPr>
      </w:pPr>
    </w:p>
    <w:p w:rsidR="00B862C1" w:rsidRDefault="00B862C1" w:rsidP="00277329">
      <w:pPr>
        <w:ind w:right="50"/>
        <w:jc w:val="both"/>
        <w:rPr>
          <w:sz w:val="24"/>
          <w:szCs w:val="24"/>
        </w:rPr>
      </w:pPr>
    </w:p>
    <w:p w:rsidR="00F45A07" w:rsidRPr="001857CD" w:rsidRDefault="00F45A07" w:rsidP="00277329">
      <w:pPr>
        <w:ind w:right="50"/>
        <w:jc w:val="both"/>
        <w:rPr>
          <w:sz w:val="24"/>
          <w:szCs w:val="24"/>
        </w:rPr>
      </w:pPr>
    </w:p>
    <w:p w:rsidR="00924737" w:rsidRDefault="009E056D" w:rsidP="00277329">
      <w:pPr>
        <w:numPr>
          <w:ilvl w:val="0"/>
          <w:numId w:val="13"/>
        </w:numPr>
        <w:ind w:right="50"/>
        <w:jc w:val="both"/>
        <w:rPr>
          <w:sz w:val="24"/>
          <w:szCs w:val="24"/>
        </w:rPr>
      </w:pPr>
      <w:r w:rsidRPr="00924737">
        <w:rPr>
          <w:b/>
          <w:sz w:val="24"/>
          <w:szCs w:val="24"/>
          <w:u w:val="single"/>
        </w:rPr>
        <w:t>Vigencia</w:t>
      </w:r>
    </w:p>
    <w:p w:rsidR="009E056D" w:rsidRDefault="009E056D" w:rsidP="00924737">
      <w:pPr>
        <w:ind w:left="720" w:right="50"/>
        <w:jc w:val="both"/>
        <w:rPr>
          <w:sz w:val="24"/>
          <w:szCs w:val="24"/>
        </w:rPr>
      </w:pPr>
    </w:p>
    <w:p w:rsidR="001E2BBD" w:rsidRDefault="009E056D" w:rsidP="00277329">
      <w:pPr>
        <w:ind w:right="50"/>
        <w:jc w:val="both"/>
        <w:rPr>
          <w:b/>
          <w:sz w:val="24"/>
          <w:szCs w:val="24"/>
        </w:rPr>
      </w:pPr>
      <w:r>
        <w:rPr>
          <w:sz w:val="24"/>
          <w:szCs w:val="24"/>
        </w:rPr>
        <w:t xml:space="preserve">Las disposiciones de esta resolución </w:t>
      </w:r>
      <w:r w:rsidR="00924737">
        <w:rPr>
          <w:sz w:val="24"/>
          <w:szCs w:val="24"/>
        </w:rPr>
        <w:t xml:space="preserve">serán de aplicación </w:t>
      </w:r>
      <w:r w:rsidR="0087708B">
        <w:rPr>
          <w:b/>
          <w:sz w:val="24"/>
          <w:szCs w:val="24"/>
        </w:rPr>
        <w:t xml:space="preserve">desde el 1 de </w:t>
      </w:r>
      <w:r w:rsidR="00B862C1">
        <w:rPr>
          <w:b/>
          <w:sz w:val="24"/>
          <w:szCs w:val="24"/>
        </w:rPr>
        <w:t>F</w:t>
      </w:r>
      <w:r w:rsidR="00D90733">
        <w:rPr>
          <w:b/>
          <w:sz w:val="24"/>
          <w:szCs w:val="24"/>
        </w:rPr>
        <w:t>eb</w:t>
      </w:r>
      <w:r w:rsidR="00B862C1">
        <w:rPr>
          <w:b/>
          <w:sz w:val="24"/>
          <w:szCs w:val="24"/>
        </w:rPr>
        <w:t>r</w:t>
      </w:r>
      <w:r w:rsidR="00D90733">
        <w:rPr>
          <w:b/>
          <w:sz w:val="24"/>
          <w:szCs w:val="24"/>
        </w:rPr>
        <w:t>ero</w:t>
      </w:r>
      <w:r w:rsidR="0087708B">
        <w:rPr>
          <w:b/>
          <w:sz w:val="24"/>
          <w:szCs w:val="24"/>
        </w:rPr>
        <w:t xml:space="preserve"> de 20</w:t>
      </w:r>
      <w:r w:rsidR="00D90733">
        <w:rPr>
          <w:b/>
          <w:sz w:val="24"/>
          <w:szCs w:val="24"/>
        </w:rPr>
        <w:t>24</w:t>
      </w:r>
      <w:r w:rsidR="0087708B">
        <w:rPr>
          <w:b/>
          <w:sz w:val="24"/>
          <w:szCs w:val="24"/>
        </w:rPr>
        <w:t xml:space="preserve"> </w:t>
      </w:r>
    </w:p>
    <w:p w:rsidR="001E2BBD" w:rsidRDefault="001E2BBD" w:rsidP="00277329">
      <w:pPr>
        <w:ind w:right="50"/>
        <w:jc w:val="both"/>
        <w:rPr>
          <w:b/>
          <w:sz w:val="24"/>
          <w:szCs w:val="24"/>
        </w:rPr>
      </w:pPr>
    </w:p>
    <w:p w:rsidR="00C772AE" w:rsidRPr="00C772AE" w:rsidRDefault="00C772AE" w:rsidP="00277329">
      <w:pPr>
        <w:ind w:right="50"/>
        <w:jc w:val="both"/>
        <w:rPr>
          <w:b/>
          <w:sz w:val="24"/>
          <w:szCs w:val="24"/>
          <w:u w:val="single"/>
        </w:rPr>
      </w:pPr>
    </w:p>
    <w:p w:rsidR="002D257D" w:rsidRDefault="002D257D" w:rsidP="00277329">
      <w:pPr>
        <w:ind w:right="50"/>
        <w:jc w:val="both"/>
        <w:rPr>
          <w:sz w:val="24"/>
          <w:szCs w:val="24"/>
        </w:rPr>
      </w:pPr>
    </w:p>
    <w:p w:rsidR="00F45A07" w:rsidRDefault="00F45A07" w:rsidP="00277329">
      <w:pPr>
        <w:ind w:right="50"/>
        <w:jc w:val="both"/>
        <w:rPr>
          <w:sz w:val="24"/>
          <w:szCs w:val="24"/>
        </w:rPr>
      </w:pPr>
    </w:p>
    <w:p w:rsidR="00924737" w:rsidRDefault="00924737" w:rsidP="00277329">
      <w:pPr>
        <w:ind w:right="50"/>
        <w:jc w:val="both"/>
        <w:rPr>
          <w:sz w:val="24"/>
          <w:szCs w:val="24"/>
        </w:rPr>
      </w:pPr>
    </w:p>
    <w:p w:rsidR="00C772AE" w:rsidRPr="002D257D" w:rsidRDefault="00C1431F" w:rsidP="00277329">
      <w:pPr>
        <w:ind w:right="50"/>
        <w:jc w:val="both"/>
        <w:rPr>
          <w:sz w:val="24"/>
          <w:szCs w:val="24"/>
        </w:rPr>
      </w:pPr>
      <w:r w:rsidRPr="002D257D">
        <w:rPr>
          <w:sz w:val="24"/>
          <w:szCs w:val="24"/>
        </w:rPr>
        <w:t xml:space="preserve">Buenos Aires, </w:t>
      </w:r>
      <w:r w:rsidR="00D90733">
        <w:rPr>
          <w:sz w:val="24"/>
          <w:szCs w:val="24"/>
        </w:rPr>
        <w:t>2</w:t>
      </w:r>
      <w:r w:rsidR="00654043">
        <w:rPr>
          <w:sz w:val="24"/>
          <w:szCs w:val="24"/>
        </w:rPr>
        <w:t>4</w:t>
      </w:r>
      <w:r w:rsidR="002D257D">
        <w:rPr>
          <w:sz w:val="24"/>
          <w:szCs w:val="24"/>
        </w:rPr>
        <w:t xml:space="preserve"> de </w:t>
      </w:r>
      <w:r w:rsidR="00D90733">
        <w:rPr>
          <w:sz w:val="24"/>
          <w:szCs w:val="24"/>
        </w:rPr>
        <w:t>Enero de 2024</w:t>
      </w:r>
      <w:r w:rsidR="00C772AE" w:rsidRPr="002D257D">
        <w:rPr>
          <w:sz w:val="24"/>
          <w:szCs w:val="24"/>
        </w:rPr>
        <w:t>.</w:t>
      </w:r>
    </w:p>
    <w:sectPr w:rsidR="00C772AE" w:rsidRPr="002D257D" w:rsidSect="00277329">
      <w:headerReference w:type="default" r:id="rId8"/>
      <w:pgSz w:w="12242" w:h="15842" w:code="1"/>
      <w:pgMar w:top="1417" w:right="1701" w:bottom="1417" w:left="1701" w:header="0" w:footer="0" w:gutter="0"/>
      <w:paperSrc w:first="259" w:other="259"/>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702" w:rsidRDefault="005F0702">
      <w:r>
        <w:separator/>
      </w:r>
    </w:p>
  </w:endnote>
  <w:endnote w:type="continuationSeparator" w:id="0">
    <w:p w:rsidR="005F0702" w:rsidRDefault="005F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702" w:rsidRDefault="005F0702">
      <w:r>
        <w:separator/>
      </w:r>
    </w:p>
  </w:footnote>
  <w:footnote w:type="continuationSeparator" w:id="0">
    <w:p w:rsidR="005F0702" w:rsidRDefault="005F07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29" w:rsidRDefault="00277329">
    <w:pPr>
      <w:pStyle w:val="Encabezado"/>
      <w:pBdr>
        <w:bottom w:val="single" w:sz="12" w:space="1" w:color="000080"/>
      </w:pBdr>
      <w:jc w:val="right"/>
      <w:rPr>
        <w:b/>
        <w:color w:val="000080"/>
      </w:rPr>
    </w:pPr>
  </w:p>
  <w:p w:rsidR="00277329" w:rsidRDefault="00277329">
    <w:pPr>
      <w:pStyle w:val="Encabezado"/>
      <w:pBdr>
        <w:bottom w:val="single" w:sz="12" w:space="1" w:color="000080"/>
      </w:pBdr>
      <w:jc w:val="right"/>
      <w:rPr>
        <w:b/>
        <w:color w:val="000080"/>
      </w:rPr>
    </w:pPr>
  </w:p>
  <w:p w:rsidR="00277329" w:rsidRDefault="00277329">
    <w:pPr>
      <w:pStyle w:val="Encabezado"/>
      <w:pBdr>
        <w:bottom w:val="single" w:sz="12" w:space="1" w:color="000080"/>
      </w:pBdr>
      <w:jc w:val="right"/>
      <w:rPr>
        <w:b/>
        <w:color w:val="000080"/>
      </w:rPr>
    </w:pPr>
    <w:r>
      <w:rPr>
        <w:b/>
        <w:color w:val="000080"/>
      </w:rPr>
      <w:t xml:space="preserve"> FABETTI, BERTANI &amp; ASOCIADOS.</w:t>
    </w:r>
  </w:p>
  <w:p w:rsidR="00277329" w:rsidRDefault="002773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29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063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8CE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54B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72DD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CB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CA0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84F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A82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D0F0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661979"/>
    <w:multiLevelType w:val="hybridMultilevel"/>
    <w:tmpl w:val="CD8C3050"/>
    <w:lvl w:ilvl="0" w:tplc="DCE25DAA">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1" w15:restartNumberingAfterBreak="0">
    <w:nsid w:val="37864C8E"/>
    <w:multiLevelType w:val="hybridMultilevel"/>
    <w:tmpl w:val="FB2C60AA"/>
    <w:lvl w:ilvl="0" w:tplc="DCF06D20">
      <w:start w:val="1"/>
      <w:numFmt w:val="bullet"/>
      <w:lvlText w:val=""/>
      <w:lvlJc w:val="left"/>
      <w:pPr>
        <w:ind w:left="1068" w:hanging="360"/>
      </w:pPr>
      <w:rPr>
        <w:rFonts w:ascii="Wingdings" w:hAnsi="Wingdings" w:hint="default"/>
        <w:sz w:val="20"/>
        <w:szCs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66EA75DC"/>
    <w:multiLevelType w:val="hybridMultilevel"/>
    <w:tmpl w:val="958483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B74386"/>
    <w:multiLevelType w:val="hybridMultilevel"/>
    <w:tmpl w:val="80B625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AE"/>
    <w:rsid w:val="000366C9"/>
    <w:rsid w:val="00064C56"/>
    <w:rsid w:val="000B0F12"/>
    <w:rsid w:val="000C60C5"/>
    <w:rsid w:val="000C7881"/>
    <w:rsid w:val="001857CD"/>
    <w:rsid w:val="001D4E76"/>
    <w:rsid w:val="001E2BBD"/>
    <w:rsid w:val="00223014"/>
    <w:rsid w:val="0023197D"/>
    <w:rsid w:val="00277329"/>
    <w:rsid w:val="0028570B"/>
    <w:rsid w:val="002D1815"/>
    <w:rsid w:val="002D257D"/>
    <w:rsid w:val="003D394B"/>
    <w:rsid w:val="003F2BDB"/>
    <w:rsid w:val="004B3EC7"/>
    <w:rsid w:val="00526525"/>
    <w:rsid w:val="005F0702"/>
    <w:rsid w:val="006341D2"/>
    <w:rsid w:val="00652384"/>
    <w:rsid w:val="00654043"/>
    <w:rsid w:val="006A14F1"/>
    <w:rsid w:val="006B3CB9"/>
    <w:rsid w:val="006B4A5E"/>
    <w:rsid w:val="007137D7"/>
    <w:rsid w:val="007727EB"/>
    <w:rsid w:val="007C5220"/>
    <w:rsid w:val="007F02A9"/>
    <w:rsid w:val="00850C92"/>
    <w:rsid w:val="0087708B"/>
    <w:rsid w:val="00881851"/>
    <w:rsid w:val="00924737"/>
    <w:rsid w:val="00944750"/>
    <w:rsid w:val="009A2933"/>
    <w:rsid w:val="009E056D"/>
    <w:rsid w:val="00A054EC"/>
    <w:rsid w:val="00A765EF"/>
    <w:rsid w:val="00A86489"/>
    <w:rsid w:val="00AA4FB9"/>
    <w:rsid w:val="00AE0747"/>
    <w:rsid w:val="00B74B46"/>
    <w:rsid w:val="00B862C1"/>
    <w:rsid w:val="00BD450B"/>
    <w:rsid w:val="00C1431F"/>
    <w:rsid w:val="00C772AE"/>
    <w:rsid w:val="00D004EB"/>
    <w:rsid w:val="00D90733"/>
    <w:rsid w:val="00E2024C"/>
    <w:rsid w:val="00EB14C9"/>
    <w:rsid w:val="00EE3711"/>
    <w:rsid w:val="00F33857"/>
    <w:rsid w:val="00F45A07"/>
    <w:rsid w:val="00F52720"/>
    <w:rsid w:val="00F52739"/>
    <w:rsid w:val="00F53A74"/>
    <w:rsid w:val="00F95A61"/>
    <w:rsid w:val="00FA1E65"/>
    <w:rsid w:val="00FD45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FF733"/>
  <w15:chartTrackingRefBased/>
  <w15:docId w15:val="{49B7DE63-4FC2-4883-82BF-BFC97ABA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eastAsia="es-ES"/>
    </w:rPr>
  </w:style>
  <w:style w:type="paragraph" w:styleId="Ttulo1">
    <w:name w:val="heading 1"/>
    <w:basedOn w:val="Normal"/>
    <w:next w:val="Normal"/>
    <w:qFormat/>
    <w:pPr>
      <w:keepNext/>
      <w:outlineLvl w:val="0"/>
    </w:pPr>
    <w:rPr>
      <w:b/>
      <w:sz w:val="24"/>
      <w:lang w:val="en-US"/>
    </w:rPr>
  </w:style>
  <w:style w:type="paragraph" w:styleId="Ttulo2">
    <w:name w:val="heading 2"/>
    <w:basedOn w:val="Normal"/>
    <w:next w:val="Normal"/>
    <w:qFormat/>
    <w:pPr>
      <w:keepNext/>
      <w:ind w:right="91"/>
      <w:jc w:val="both"/>
      <w:outlineLvl w:val="1"/>
    </w:pPr>
    <w:rPr>
      <w:sz w:val="24"/>
    </w:rPr>
  </w:style>
  <w:style w:type="paragraph" w:styleId="Ttulo3">
    <w:name w:val="heading 3"/>
    <w:basedOn w:val="Normal"/>
    <w:next w:val="Normal"/>
    <w:qFormat/>
    <w:pPr>
      <w:keepNext/>
      <w:tabs>
        <w:tab w:val="left" w:pos="454"/>
      </w:tabs>
      <w:ind w:right="91"/>
      <w:jc w:val="both"/>
      <w:outlineLvl w:val="2"/>
    </w:pPr>
    <w:rPr>
      <w:b/>
      <w:sz w:val="24"/>
      <w:u w:val="single"/>
    </w:rPr>
  </w:style>
  <w:style w:type="paragraph" w:styleId="Ttulo4">
    <w:name w:val="heading 4"/>
    <w:basedOn w:val="Normal"/>
    <w:next w:val="Normal"/>
    <w:qFormat/>
    <w:pPr>
      <w:keepNext/>
      <w:tabs>
        <w:tab w:val="left" w:pos="454"/>
      </w:tabs>
      <w:ind w:right="91"/>
      <w:outlineLvl w:val="3"/>
    </w:pPr>
    <w:rPr>
      <w:sz w:val="24"/>
    </w:rPr>
  </w:style>
  <w:style w:type="paragraph" w:styleId="Ttulo5">
    <w:name w:val="heading 5"/>
    <w:basedOn w:val="Normal"/>
    <w:next w:val="Normal"/>
    <w:qFormat/>
    <w:pPr>
      <w:keepNext/>
      <w:outlineLvl w:val="4"/>
    </w:pPr>
    <w:rPr>
      <w:sz w:val="24"/>
    </w:rPr>
  </w:style>
  <w:style w:type="paragraph" w:styleId="Ttulo6">
    <w:name w:val="heading 6"/>
    <w:basedOn w:val="Normal"/>
    <w:next w:val="Normal"/>
    <w:qFormat/>
    <w:pPr>
      <w:keepNext/>
      <w:tabs>
        <w:tab w:val="left" w:pos="454"/>
      </w:tabs>
      <w:ind w:right="91"/>
      <w:jc w:val="both"/>
      <w:outlineLvl w:val="5"/>
    </w:pPr>
    <w:rPr>
      <w:i/>
      <w:sz w:val="24"/>
    </w:rPr>
  </w:style>
  <w:style w:type="paragraph" w:styleId="Ttulo7">
    <w:name w:val="heading 7"/>
    <w:basedOn w:val="Normal"/>
    <w:next w:val="Normal"/>
    <w:qFormat/>
    <w:pPr>
      <w:keepNext/>
      <w:tabs>
        <w:tab w:val="left" w:pos="454"/>
      </w:tabs>
      <w:ind w:right="91"/>
      <w:jc w:val="center"/>
      <w:outlineLvl w:val="6"/>
    </w:pPr>
    <w:rPr>
      <w:b/>
      <w:sz w:val="24"/>
    </w:rPr>
  </w:style>
  <w:style w:type="paragraph" w:styleId="Ttulo8">
    <w:name w:val="heading 8"/>
    <w:basedOn w:val="Normal"/>
    <w:next w:val="Normal"/>
    <w:qFormat/>
    <w:pPr>
      <w:keepNext/>
      <w:ind w:right="91"/>
      <w:jc w:val="center"/>
      <w:outlineLvl w:val="7"/>
    </w:pPr>
    <w:rPr>
      <w:b/>
      <w:sz w:val="24"/>
      <w:u w:val="single"/>
    </w:rPr>
  </w:style>
  <w:style w:type="paragraph" w:styleId="Ttulo9">
    <w:name w:val="heading 9"/>
    <w:basedOn w:val="Normal"/>
    <w:next w:val="Normal"/>
    <w:qFormat/>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1">
    <w:name w:val="Texto de bloque1"/>
    <w:basedOn w:val="Normal"/>
    <w:pPr>
      <w:ind w:left="284" w:right="91"/>
      <w:jc w:val="both"/>
    </w:pPr>
    <w:rPr>
      <w:sz w:val="24"/>
      <w:lang w:val="en-US"/>
    </w:rPr>
  </w:style>
  <w:style w:type="paragraph" w:styleId="Textoindependiente">
    <w:name w:val="Body Text"/>
    <w:basedOn w:val="Normal"/>
    <w:semiHidden/>
    <w:pPr>
      <w:tabs>
        <w:tab w:val="left" w:pos="454"/>
      </w:tabs>
      <w:ind w:right="91"/>
      <w:jc w:val="both"/>
    </w:pPr>
    <w:rPr>
      <w:sz w:val="24"/>
    </w:rPr>
  </w:style>
  <w:style w:type="paragraph" w:customStyle="1" w:styleId="Textoindependiente21">
    <w:name w:val="Texto independiente 21"/>
    <w:basedOn w:val="Normal"/>
    <w:pPr>
      <w:tabs>
        <w:tab w:val="left" w:pos="454"/>
      </w:tabs>
      <w:ind w:right="91"/>
      <w:jc w:val="both"/>
    </w:pPr>
    <w:rPr>
      <w:i/>
      <w:sz w:val="24"/>
      <w:u w:val="single"/>
    </w:rPr>
  </w:style>
  <w:style w:type="paragraph" w:customStyle="1" w:styleId="Textoindependiente31">
    <w:name w:val="Texto independiente 31"/>
    <w:basedOn w:val="Normal"/>
    <w:pPr>
      <w:tabs>
        <w:tab w:val="left" w:pos="454"/>
      </w:tabs>
      <w:ind w:right="91"/>
      <w:jc w:val="both"/>
    </w:pPr>
    <w:rPr>
      <w:b/>
      <w:sz w:val="24"/>
      <w:u w:val="single"/>
    </w:rPr>
  </w:style>
  <w:style w:type="character" w:styleId="Hipervnculo">
    <w:name w:val="Hyperlink"/>
    <w:basedOn w:val="Fuentedeprrafopredeter"/>
    <w:semiHidden/>
    <w:rPr>
      <w:color w:val="0000FF"/>
      <w:u w:val="single"/>
    </w:rPr>
  </w:style>
  <w:style w:type="paragraph" w:styleId="Textoindependiente2">
    <w:name w:val="Body Text 2"/>
    <w:basedOn w:val="Normal"/>
    <w:semiHidden/>
    <w:rPr>
      <w:sz w:val="24"/>
    </w:rPr>
  </w:style>
  <w:style w:type="paragraph" w:styleId="Textoindependiente3">
    <w:name w:val="Body Text 3"/>
    <w:basedOn w:val="Normal"/>
    <w:semiHidden/>
    <w:pPr>
      <w:jc w:val="both"/>
    </w:pPr>
    <w:rPr>
      <w:i/>
      <w:sz w:val="24"/>
      <w:u w:val="single"/>
    </w:rPr>
  </w:style>
  <w:style w:type="paragraph" w:styleId="Sangradetextonormal">
    <w:name w:val="Body Text Indent"/>
    <w:basedOn w:val="Normal"/>
    <w:semiHidden/>
    <w:pPr>
      <w:tabs>
        <w:tab w:val="left" w:pos="454"/>
      </w:tabs>
      <w:ind w:right="91" w:firstLine="397"/>
      <w:jc w:val="both"/>
    </w:pPr>
    <w:rPr>
      <w:sz w:val="24"/>
    </w:rPr>
  </w:style>
  <w:style w:type="paragraph" w:styleId="Encabezado">
    <w:name w:val="header"/>
    <w:basedOn w:val="Normal"/>
    <w:semiHidden/>
    <w:pPr>
      <w:widowControl/>
      <w:tabs>
        <w:tab w:val="center" w:pos="4252"/>
        <w:tab w:val="right" w:pos="8504"/>
      </w:tabs>
    </w:pPr>
    <w:rPr>
      <w:sz w:val="24"/>
      <w:lang w:val="es-ES_tradnl"/>
    </w:rPr>
  </w:style>
  <w:style w:type="paragraph" w:styleId="Piedepgina">
    <w:name w:val="footer"/>
    <w:basedOn w:val="Normal"/>
    <w:semiHidden/>
    <w:pPr>
      <w:tabs>
        <w:tab w:val="center" w:pos="4419"/>
        <w:tab w:val="right" w:pos="8838"/>
      </w:tabs>
    </w:pPr>
  </w:style>
  <w:style w:type="paragraph" w:styleId="Prrafodelista">
    <w:name w:val="List Paragraph"/>
    <w:basedOn w:val="Normal"/>
    <w:uiPriority w:val="34"/>
    <w:qFormat/>
    <w:rsid w:val="000C60C5"/>
    <w:pPr>
      <w:ind w:left="708"/>
    </w:pPr>
  </w:style>
  <w:style w:type="character" w:styleId="Hipervnculovisitado">
    <w:name w:val="FollowedHyperlink"/>
    <w:basedOn w:val="Fuentedeprrafopredeter"/>
    <w:uiPriority w:val="99"/>
    <w:semiHidden/>
    <w:unhideWhenUsed/>
    <w:rsid w:val="00654043"/>
    <w:rPr>
      <w:color w:val="954F72" w:themeColor="followedHyperlink"/>
      <w:u w:val="single"/>
    </w:rPr>
  </w:style>
  <w:style w:type="paragraph" w:styleId="Textodeglobo">
    <w:name w:val="Balloon Text"/>
    <w:basedOn w:val="Normal"/>
    <w:link w:val="TextodegloboCar"/>
    <w:uiPriority w:val="99"/>
    <w:semiHidden/>
    <w:unhideWhenUsed/>
    <w:rsid w:val="00F527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720"/>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4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rviciosweb.afip.gob.ar/genericos/calculoInteres/punitorio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Jose Piccardo &amp; Cia.</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subject/>
  <dc:creator>Jose Piccardo &amp; Cia.</dc:creator>
  <cp:keywords/>
  <cp:lastModifiedBy>Daniela Capuzzi</cp:lastModifiedBy>
  <cp:revision>13</cp:revision>
  <cp:lastPrinted>2024-01-25T21:10:00Z</cp:lastPrinted>
  <dcterms:created xsi:type="dcterms:W3CDTF">2024-01-23T12:54:00Z</dcterms:created>
  <dcterms:modified xsi:type="dcterms:W3CDTF">2024-01-26T14:20:00Z</dcterms:modified>
</cp:coreProperties>
</file>