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DBDB" w14:textId="77777777" w:rsidR="005605DE" w:rsidRPr="00612D81" w:rsidRDefault="005605DE" w:rsidP="00FA7C51">
      <w:pPr>
        <w:ind w:right="1043"/>
        <w:rPr>
          <w:b/>
          <w:szCs w:val="24"/>
          <w:u w:val="single"/>
        </w:rPr>
      </w:pPr>
    </w:p>
    <w:p w14:paraId="26DBDBDC" w14:textId="516D7E48" w:rsidR="00FA7C51" w:rsidRDefault="00FA7C51" w:rsidP="00FA7C51">
      <w:pPr>
        <w:ind w:right="1043"/>
        <w:rPr>
          <w:b/>
          <w:szCs w:val="24"/>
          <w:u w:val="single"/>
        </w:rPr>
      </w:pPr>
      <w:r w:rsidRPr="00612D81">
        <w:rPr>
          <w:b/>
          <w:szCs w:val="24"/>
          <w:u w:val="single"/>
        </w:rPr>
        <w:t>CIRCULAR IMPOSITIVA NRO.</w:t>
      </w:r>
      <w:r w:rsidR="00053AEB" w:rsidRPr="00612D81">
        <w:rPr>
          <w:b/>
          <w:szCs w:val="24"/>
          <w:u w:val="single"/>
        </w:rPr>
        <w:t xml:space="preserve"> </w:t>
      </w:r>
      <w:r w:rsidR="00314227">
        <w:rPr>
          <w:b/>
          <w:szCs w:val="24"/>
          <w:u w:val="single"/>
        </w:rPr>
        <w:t>1195</w:t>
      </w:r>
    </w:p>
    <w:p w14:paraId="26DBDBDD" w14:textId="77777777" w:rsidR="00FA7C51" w:rsidRPr="00612D81" w:rsidRDefault="00FA7C51" w:rsidP="00FA7C51">
      <w:pPr>
        <w:pStyle w:val="Ttulo5"/>
        <w:jc w:val="left"/>
        <w:rPr>
          <w:i/>
          <w:szCs w:val="24"/>
        </w:rPr>
      </w:pPr>
      <w:bookmarkStart w:id="0" w:name="_GoBack"/>
      <w:bookmarkEnd w:id="0"/>
    </w:p>
    <w:p w14:paraId="26DBDBDE" w14:textId="77777777" w:rsidR="00FA7C51" w:rsidRPr="00612D81" w:rsidRDefault="00FA7C51" w:rsidP="00FA7C51">
      <w:pPr>
        <w:rPr>
          <w:szCs w:val="24"/>
        </w:rPr>
      </w:pPr>
    </w:p>
    <w:p w14:paraId="26DBDBDF" w14:textId="3A921B50" w:rsidR="00FA7C51" w:rsidRPr="00612D81" w:rsidRDefault="006B1473" w:rsidP="00FA7C51">
      <w:pPr>
        <w:pStyle w:val="Ttulo5"/>
        <w:jc w:val="left"/>
        <w:rPr>
          <w:i/>
          <w:szCs w:val="24"/>
          <w:lang w:val="es-ES_tradnl"/>
        </w:rPr>
      </w:pPr>
      <w:r w:rsidRPr="00612D81">
        <w:rPr>
          <w:i/>
          <w:szCs w:val="24"/>
          <w:lang w:val="es-ES_tradnl"/>
        </w:rPr>
        <w:t xml:space="preserve">Resolución General N° </w:t>
      </w:r>
      <w:r w:rsidR="00297DAF" w:rsidRPr="00612D81">
        <w:rPr>
          <w:i/>
          <w:szCs w:val="24"/>
          <w:lang w:val="es-ES_tradnl"/>
        </w:rPr>
        <w:t>54</w:t>
      </w:r>
      <w:r w:rsidR="0010535A" w:rsidRPr="00612D81">
        <w:rPr>
          <w:i/>
          <w:szCs w:val="24"/>
          <w:lang w:val="es-ES_tradnl"/>
        </w:rPr>
        <w:t>37</w:t>
      </w:r>
      <w:r w:rsidR="00FA7C51" w:rsidRPr="00612D81">
        <w:rPr>
          <w:i/>
          <w:szCs w:val="24"/>
          <w:lang w:val="es-ES_tradnl"/>
        </w:rPr>
        <w:t xml:space="preserve"> AFIP</w:t>
      </w:r>
    </w:p>
    <w:p w14:paraId="26DBDBE0" w14:textId="684BBFB6" w:rsidR="00FA7C51" w:rsidRPr="00612D81" w:rsidRDefault="00FA7C51" w:rsidP="00FA7C51">
      <w:pPr>
        <w:pStyle w:val="Ttulo5"/>
        <w:jc w:val="left"/>
        <w:rPr>
          <w:i/>
          <w:szCs w:val="24"/>
          <w:lang w:val="es-ES_tradnl"/>
        </w:rPr>
      </w:pPr>
      <w:r w:rsidRPr="00612D81">
        <w:rPr>
          <w:i/>
          <w:szCs w:val="24"/>
          <w:lang w:val="es-ES_tradnl"/>
        </w:rPr>
        <w:t xml:space="preserve">Fecha de Norma: </w:t>
      </w:r>
      <w:r w:rsidR="0010535A" w:rsidRPr="00612D81">
        <w:rPr>
          <w:i/>
          <w:szCs w:val="24"/>
          <w:lang w:val="es-ES_tradnl"/>
        </w:rPr>
        <w:t>20</w:t>
      </w:r>
      <w:r w:rsidRPr="00612D81">
        <w:rPr>
          <w:i/>
          <w:szCs w:val="24"/>
          <w:lang w:val="es-ES_tradnl"/>
        </w:rPr>
        <w:t>/</w:t>
      </w:r>
      <w:r w:rsidR="0010535A" w:rsidRPr="00612D81">
        <w:rPr>
          <w:i/>
          <w:szCs w:val="24"/>
          <w:lang w:val="es-ES_tradnl"/>
        </w:rPr>
        <w:t>10</w:t>
      </w:r>
      <w:r w:rsidRPr="00612D81">
        <w:rPr>
          <w:i/>
          <w:szCs w:val="24"/>
          <w:lang w:val="es-ES_tradnl"/>
        </w:rPr>
        <w:t>/20</w:t>
      </w:r>
      <w:r w:rsidR="00297DAF" w:rsidRPr="00612D81">
        <w:rPr>
          <w:i/>
          <w:szCs w:val="24"/>
          <w:lang w:val="es-ES_tradnl"/>
        </w:rPr>
        <w:t>23</w:t>
      </w:r>
    </w:p>
    <w:p w14:paraId="26DBDBE1" w14:textId="546603AD" w:rsidR="00FA7C51" w:rsidRPr="00612D81" w:rsidRDefault="006B1473" w:rsidP="00FA7C51">
      <w:pPr>
        <w:pStyle w:val="Ttulo5"/>
        <w:jc w:val="left"/>
        <w:rPr>
          <w:i/>
          <w:szCs w:val="24"/>
          <w:lang w:val="es-ES_tradnl"/>
        </w:rPr>
      </w:pPr>
      <w:r w:rsidRPr="00612D81">
        <w:rPr>
          <w:i/>
          <w:szCs w:val="24"/>
          <w:lang w:val="es-ES_tradnl"/>
        </w:rPr>
        <w:t xml:space="preserve">Boletín Oficial: </w:t>
      </w:r>
      <w:r w:rsidR="0010535A" w:rsidRPr="00612D81">
        <w:rPr>
          <w:i/>
          <w:szCs w:val="24"/>
          <w:lang w:val="es-ES_tradnl"/>
        </w:rPr>
        <w:t>24</w:t>
      </w:r>
      <w:r w:rsidR="00FA7C51" w:rsidRPr="00612D81">
        <w:rPr>
          <w:i/>
          <w:szCs w:val="24"/>
          <w:lang w:val="es-ES_tradnl"/>
        </w:rPr>
        <w:t>/</w:t>
      </w:r>
      <w:r w:rsidR="0010535A" w:rsidRPr="00612D81">
        <w:rPr>
          <w:i/>
          <w:szCs w:val="24"/>
          <w:lang w:val="es-ES_tradnl"/>
        </w:rPr>
        <w:t>10</w:t>
      </w:r>
      <w:r w:rsidR="00FA7C51" w:rsidRPr="00612D81">
        <w:rPr>
          <w:i/>
          <w:szCs w:val="24"/>
          <w:lang w:val="es-ES_tradnl"/>
        </w:rPr>
        <w:t>/20</w:t>
      </w:r>
      <w:r w:rsidR="00A1289D" w:rsidRPr="00612D81">
        <w:rPr>
          <w:i/>
          <w:szCs w:val="24"/>
          <w:lang w:val="es-ES_tradnl"/>
        </w:rPr>
        <w:t>23</w:t>
      </w:r>
    </w:p>
    <w:p w14:paraId="1FEFB5D4" w14:textId="395EB117" w:rsidR="004C19CA" w:rsidRPr="00612D81" w:rsidRDefault="004C19CA" w:rsidP="004C19CA">
      <w:pPr>
        <w:pStyle w:val="Default"/>
        <w:rPr>
          <w:rFonts w:ascii="Times New Roman" w:hAnsi="Times New Roman" w:cs="Times New Roman"/>
        </w:rPr>
      </w:pPr>
    </w:p>
    <w:p w14:paraId="4A1F5238" w14:textId="5E4E8106" w:rsidR="004C19CA" w:rsidRPr="00612D81" w:rsidRDefault="004C19CA" w:rsidP="004C19CA">
      <w:pPr>
        <w:pStyle w:val="Default"/>
        <w:rPr>
          <w:rFonts w:ascii="Times New Roman" w:hAnsi="Times New Roman" w:cs="Times New Roman"/>
        </w:rPr>
      </w:pPr>
    </w:p>
    <w:p w14:paraId="3444B34B" w14:textId="397694C6" w:rsidR="004C19CA" w:rsidRPr="00612D81" w:rsidRDefault="004C19CA" w:rsidP="001E16E8">
      <w:pPr>
        <w:jc w:val="both"/>
        <w:rPr>
          <w:szCs w:val="24"/>
          <w:u w:val="single"/>
        </w:rPr>
      </w:pPr>
      <w:r w:rsidRPr="00612D81">
        <w:rPr>
          <w:b/>
          <w:bCs/>
          <w:szCs w:val="24"/>
          <w:u w:val="single"/>
        </w:rPr>
        <w:t>Procedimiento para diferir al mes de febrero las presentaciones de declaraciones juradas con vencimiento en el mes de enero</w:t>
      </w:r>
      <w:r w:rsidR="001E16E8" w:rsidRPr="00612D81">
        <w:rPr>
          <w:b/>
          <w:bCs/>
          <w:szCs w:val="24"/>
          <w:u w:val="single"/>
        </w:rPr>
        <w:t>.</w:t>
      </w:r>
    </w:p>
    <w:p w14:paraId="0BB1732F" w14:textId="77777777" w:rsidR="0010535A" w:rsidRPr="00612D81" w:rsidRDefault="0010535A" w:rsidP="0010535A">
      <w:pPr>
        <w:pStyle w:val="Default"/>
        <w:rPr>
          <w:rFonts w:ascii="Times New Roman" w:hAnsi="Times New Roman" w:cs="Times New Roman"/>
        </w:rPr>
      </w:pPr>
    </w:p>
    <w:p w14:paraId="319C900B" w14:textId="6819BB70" w:rsidR="0010535A" w:rsidRPr="00612D81" w:rsidRDefault="0010535A" w:rsidP="0010535A">
      <w:pPr>
        <w:pStyle w:val="Default"/>
        <w:rPr>
          <w:rFonts w:ascii="Times New Roman" w:hAnsi="Times New Roman" w:cs="Times New Roman"/>
        </w:rPr>
      </w:pPr>
    </w:p>
    <w:p w14:paraId="7DEA9F77" w14:textId="618BFCD8" w:rsidR="0010535A" w:rsidRPr="00612D81" w:rsidRDefault="0010535A" w:rsidP="0010535A">
      <w:pPr>
        <w:jc w:val="both"/>
        <w:rPr>
          <w:szCs w:val="24"/>
        </w:rPr>
      </w:pPr>
      <w:r w:rsidRPr="00612D81">
        <w:rPr>
          <w:szCs w:val="24"/>
        </w:rPr>
        <w:t xml:space="preserve">Se establece un nuevo régimen opcional de presentación de declaraciones juradas y pago de los impuestos al valor agregado y a las ganancias cuyos vencimientos operen </w:t>
      </w:r>
      <w:r w:rsidR="004E3C6F" w:rsidRPr="00612D81">
        <w:rPr>
          <w:szCs w:val="24"/>
        </w:rPr>
        <w:t>durante el</w:t>
      </w:r>
      <w:r w:rsidRPr="00612D81">
        <w:rPr>
          <w:szCs w:val="24"/>
        </w:rPr>
        <w:t xml:space="preserve"> mes de enero de cada año. Los contribuyentes que opten por este régimen deberán </w:t>
      </w:r>
      <w:r w:rsidR="004E3C6F" w:rsidRPr="00612D81">
        <w:rPr>
          <w:szCs w:val="24"/>
        </w:rPr>
        <w:t>ingresar un</w:t>
      </w:r>
      <w:r w:rsidRPr="00612D81">
        <w:rPr>
          <w:szCs w:val="24"/>
        </w:rPr>
        <w:t xml:space="preserve"> pago a cuenta que será determinado en forma automática por AFIP</w:t>
      </w:r>
      <w:r w:rsidR="00612D81" w:rsidRPr="00612D81">
        <w:rPr>
          <w:szCs w:val="24"/>
        </w:rPr>
        <w:t>.</w:t>
      </w:r>
    </w:p>
    <w:p w14:paraId="26DBDBE9" w14:textId="39883531" w:rsidR="00A746E3" w:rsidRPr="00612D81" w:rsidRDefault="00A746E3" w:rsidP="005605DE">
      <w:pPr>
        <w:ind w:right="-2"/>
        <w:jc w:val="both"/>
        <w:rPr>
          <w:szCs w:val="24"/>
          <w:highlight w:val="yellow"/>
        </w:rPr>
      </w:pPr>
    </w:p>
    <w:p w14:paraId="396D65C1" w14:textId="77777777" w:rsidR="004C19CA" w:rsidRPr="00612D81" w:rsidRDefault="004C19CA" w:rsidP="005605DE">
      <w:pPr>
        <w:ind w:right="-2"/>
        <w:jc w:val="both"/>
        <w:rPr>
          <w:szCs w:val="24"/>
        </w:rPr>
      </w:pPr>
    </w:p>
    <w:p w14:paraId="26DBDBEA" w14:textId="106C70F9" w:rsidR="00A746E3" w:rsidRPr="00612D81" w:rsidRDefault="00A746E3" w:rsidP="005605DE">
      <w:pPr>
        <w:ind w:right="-2"/>
        <w:jc w:val="both"/>
        <w:rPr>
          <w:szCs w:val="24"/>
        </w:rPr>
      </w:pPr>
      <w:r w:rsidRPr="00612D81">
        <w:rPr>
          <w:szCs w:val="24"/>
        </w:rPr>
        <w:t>Los principales aspectos son los que se detallan a continuación:</w:t>
      </w:r>
    </w:p>
    <w:p w14:paraId="2B36ACAB" w14:textId="6B8AD60A" w:rsidR="00B82774" w:rsidRPr="00612D81" w:rsidRDefault="00B82774" w:rsidP="005605DE">
      <w:pPr>
        <w:ind w:right="-2"/>
        <w:jc w:val="both"/>
        <w:rPr>
          <w:szCs w:val="24"/>
        </w:rPr>
      </w:pPr>
    </w:p>
    <w:p w14:paraId="17D6B358" w14:textId="77777777" w:rsidR="00B82774" w:rsidRPr="00612D81" w:rsidRDefault="00B82774" w:rsidP="00B82774">
      <w:pPr>
        <w:pStyle w:val="Default"/>
        <w:rPr>
          <w:rFonts w:ascii="Times New Roman" w:hAnsi="Times New Roman" w:cs="Times New Roman"/>
        </w:rPr>
      </w:pPr>
    </w:p>
    <w:p w14:paraId="48422722" w14:textId="22AAFB9B" w:rsidR="00B82774" w:rsidRPr="00612D81" w:rsidRDefault="00B82774" w:rsidP="00B82774">
      <w:pPr>
        <w:ind w:right="-2"/>
        <w:jc w:val="both"/>
        <w:rPr>
          <w:i/>
          <w:szCs w:val="24"/>
        </w:rPr>
      </w:pPr>
      <w:r w:rsidRPr="00612D81">
        <w:rPr>
          <w:b/>
          <w:bCs/>
          <w:i/>
          <w:szCs w:val="24"/>
        </w:rPr>
        <w:t>RÉGIMEN OPCIONAL DE PRESENTACIÓN DE LAS DECLARACIONES JURADAS Y EL PAGODE LOS IMPUESTOS AL VALOR AGREGADO Y A LAS GANANCIAS</w:t>
      </w:r>
    </w:p>
    <w:p w14:paraId="26DBDBEB" w14:textId="77777777" w:rsidR="00A746E3" w:rsidRPr="00612D81" w:rsidRDefault="00A746E3" w:rsidP="005605DE">
      <w:pPr>
        <w:ind w:right="-2"/>
        <w:jc w:val="both"/>
        <w:rPr>
          <w:szCs w:val="24"/>
        </w:rPr>
      </w:pPr>
    </w:p>
    <w:p w14:paraId="26DBDBEC" w14:textId="77777777" w:rsidR="00A746E3" w:rsidRPr="00612D81" w:rsidRDefault="00A746E3" w:rsidP="005605DE">
      <w:pPr>
        <w:ind w:right="-2"/>
        <w:jc w:val="both"/>
        <w:rPr>
          <w:szCs w:val="24"/>
        </w:rPr>
      </w:pPr>
    </w:p>
    <w:p w14:paraId="47BFCC16" w14:textId="78E5ACCE" w:rsidR="004C19CA" w:rsidRPr="00612D81" w:rsidRDefault="00CC04EA" w:rsidP="004C19CA">
      <w:pPr>
        <w:pStyle w:val="Prrafodelista"/>
        <w:numPr>
          <w:ilvl w:val="0"/>
          <w:numId w:val="14"/>
        </w:numPr>
        <w:ind w:right="-2"/>
        <w:jc w:val="both"/>
        <w:rPr>
          <w:b/>
          <w:szCs w:val="24"/>
          <w:u w:val="single"/>
        </w:rPr>
      </w:pPr>
      <w:r w:rsidRPr="00612D81">
        <w:rPr>
          <w:b/>
          <w:szCs w:val="24"/>
          <w:u w:val="single"/>
        </w:rPr>
        <w:t xml:space="preserve">Sujetos </w:t>
      </w:r>
      <w:r w:rsidR="001E3986" w:rsidRPr="00612D81">
        <w:rPr>
          <w:b/>
          <w:szCs w:val="24"/>
          <w:u w:val="single"/>
        </w:rPr>
        <w:t>alcanzados</w:t>
      </w:r>
    </w:p>
    <w:p w14:paraId="2FE7650A" w14:textId="77777777" w:rsidR="004C19CA" w:rsidRPr="00612D81" w:rsidRDefault="004C19CA" w:rsidP="004C19CA">
      <w:pPr>
        <w:pStyle w:val="Default"/>
        <w:ind w:left="360"/>
        <w:rPr>
          <w:rFonts w:ascii="Times New Roman" w:hAnsi="Times New Roman" w:cs="Times New Roman"/>
        </w:rPr>
      </w:pPr>
    </w:p>
    <w:p w14:paraId="6BE75C5A" w14:textId="02EAC24A" w:rsidR="004C19CA" w:rsidRPr="00612D81" w:rsidRDefault="004C19CA" w:rsidP="00612D81">
      <w:pPr>
        <w:ind w:right="-2"/>
        <w:jc w:val="both"/>
        <w:rPr>
          <w:b/>
          <w:szCs w:val="24"/>
          <w:u w:val="single"/>
        </w:rPr>
      </w:pPr>
      <w:r w:rsidRPr="00612D81">
        <w:rPr>
          <w:szCs w:val="24"/>
        </w:rPr>
        <w:t>Podrán optar por adherir al presente régimen, los contribuyentes que se indican a continuación:</w:t>
      </w:r>
    </w:p>
    <w:p w14:paraId="2405358C" w14:textId="6F277AAB" w:rsidR="004C19CA" w:rsidRPr="00612D81" w:rsidRDefault="004C19CA" w:rsidP="004C19CA">
      <w:pPr>
        <w:pStyle w:val="Default"/>
        <w:rPr>
          <w:rFonts w:ascii="Times New Roman" w:hAnsi="Times New Roman" w:cs="Times New Roman"/>
        </w:rPr>
      </w:pPr>
    </w:p>
    <w:p w14:paraId="78E53E50" w14:textId="526FE1FB" w:rsidR="004C19CA" w:rsidRPr="00612D81" w:rsidRDefault="004C19CA" w:rsidP="004C19CA">
      <w:pPr>
        <w:pStyle w:val="Prrafodelista"/>
        <w:numPr>
          <w:ilvl w:val="0"/>
          <w:numId w:val="18"/>
        </w:numPr>
        <w:ind w:right="-2"/>
        <w:jc w:val="both"/>
        <w:rPr>
          <w:iCs/>
          <w:szCs w:val="24"/>
        </w:rPr>
      </w:pPr>
      <w:r w:rsidRPr="00612D81">
        <w:rPr>
          <w:iCs/>
          <w:szCs w:val="24"/>
        </w:rPr>
        <w:t>Micro y Pequeñas Empresas caracterizadas en el “Sistema Registral” con los códigos 272 y 274.</w:t>
      </w:r>
    </w:p>
    <w:p w14:paraId="293D2929" w14:textId="77777777" w:rsidR="00612D81" w:rsidRPr="00612D81" w:rsidRDefault="00612D81" w:rsidP="00612D81">
      <w:pPr>
        <w:pStyle w:val="Prrafodelista"/>
        <w:ind w:right="-2"/>
        <w:jc w:val="both"/>
        <w:rPr>
          <w:iCs/>
          <w:szCs w:val="24"/>
        </w:rPr>
      </w:pPr>
    </w:p>
    <w:p w14:paraId="48F1A887" w14:textId="14225A0D" w:rsidR="00293DD7" w:rsidRPr="00612D81" w:rsidRDefault="004C19CA" w:rsidP="00293DD7">
      <w:pPr>
        <w:pStyle w:val="Prrafodelista"/>
        <w:numPr>
          <w:ilvl w:val="0"/>
          <w:numId w:val="18"/>
        </w:numPr>
        <w:ind w:right="-2"/>
        <w:jc w:val="both"/>
        <w:rPr>
          <w:iCs/>
          <w:szCs w:val="24"/>
        </w:rPr>
      </w:pPr>
      <w:r w:rsidRPr="00612D81">
        <w:rPr>
          <w:iCs/>
          <w:szCs w:val="24"/>
        </w:rPr>
        <w:t xml:space="preserve"> Pequeños Contribuyentes caracterizados en el “Sistema Registral” con el código 547.</w:t>
      </w:r>
    </w:p>
    <w:p w14:paraId="467B4F8B" w14:textId="77777777" w:rsidR="00FF2FDF" w:rsidRPr="00612D81" w:rsidRDefault="00FF2FDF" w:rsidP="00CC04EA">
      <w:pPr>
        <w:ind w:right="-2"/>
        <w:jc w:val="both"/>
        <w:rPr>
          <w:szCs w:val="24"/>
        </w:rPr>
      </w:pPr>
    </w:p>
    <w:p w14:paraId="47D59990" w14:textId="0EE17CAB" w:rsidR="004C19CA" w:rsidRPr="00612D81" w:rsidRDefault="004C19CA" w:rsidP="004C19CA">
      <w:pPr>
        <w:pStyle w:val="Prrafodelista"/>
        <w:numPr>
          <w:ilvl w:val="0"/>
          <w:numId w:val="14"/>
        </w:numPr>
        <w:ind w:right="-2"/>
        <w:jc w:val="both"/>
        <w:rPr>
          <w:szCs w:val="24"/>
        </w:rPr>
      </w:pPr>
      <w:r w:rsidRPr="00612D81">
        <w:rPr>
          <w:b/>
          <w:szCs w:val="24"/>
          <w:u w:val="single"/>
        </w:rPr>
        <w:t>Sujetos Excluidos</w:t>
      </w:r>
    </w:p>
    <w:p w14:paraId="0DBE3A93" w14:textId="77777777" w:rsidR="00293DD7" w:rsidRPr="00612D81" w:rsidRDefault="00293DD7" w:rsidP="00293DD7">
      <w:pPr>
        <w:pStyle w:val="Default"/>
        <w:ind w:left="360"/>
        <w:rPr>
          <w:rFonts w:ascii="Times New Roman" w:hAnsi="Times New Roman" w:cs="Times New Roman"/>
        </w:rPr>
      </w:pPr>
    </w:p>
    <w:p w14:paraId="26DBDBF5" w14:textId="5BF9B7BF" w:rsidR="00EA5A24" w:rsidRPr="00612D81" w:rsidRDefault="00293DD7" w:rsidP="00612D81">
      <w:pPr>
        <w:ind w:right="-2"/>
        <w:jc w:val="both"/>
        <w:rPr>
          <w:szCs w:val="24"/>
        </w:rPr>
      </w:pPr>
      <w:r w:rsidRPr="00612D81">
        <w:rPr>
          <w:szCs w:val="24"/>
        </w:rPr>
        <w:t>Quedan excluidos del presente régimen opcional:</w:t>
      </w:r>
    </w:p>
    <w:p w14:paraId="4F42D2A0" w14:textId="2BE9EF7A" w:rsidR="00293DD7" w:rsidRPr="00612D81" w:rsidRDefault="00293DD7" w:rsidP="00293DD7">
      <w:pPr>
        <w:pStyle w:val="Default"/>
        <w:rPr>
          <w:rFonts w:ascii="Times New Roman" w:hAnsi="Times New Roman" w:cs="Times New Roman"/>
        </w:rPr>
      </w:pPr>
    </w:p>
    <w:p w14:paraId="03FFBD53" w14:textId="5899E968" w:rsidR="00293DD7" w:rsidRPr="00612D81" w:rsidRDefault="00293DD7" w:rsidP="00293DD7">
      <w:pPr>
        <w:pStyle w:val="Prrafodelista"/>
        <w:numPr>
          <w:ilvl w:val="0"/>
          <w:numId w:val="19"/>
        </w:numPr>
        <w:ind w:right="-2"/>
        <w:jc w:val="both"/>
        <w:rPr>
          <w:szCs w:val="24"/>
        </w:rPr>
      </w:pPr>
      <w:r w:rsidRPr="00612D81">
        <w:rPr>
          <w:szCs w:val="24"/>
        </w:rPr>
        <w:t>Los responsables por deuda ajena respecto de las obligaciones que no le son propias;</w:t>
      </w:r>
    </w:p>
    <w:p w14:paraId="239C1B37" w14:textId="77777777" w:rsidR="00612D81" w:rsidRPr="00612D81" w:rsidRDefault="00612D81" w:rsidP="00612D81">
      <w:pPr>
        <w:pStyle w:val="Prrafodelista"/>
        <w:ind w:right="-2"/>
        <w:jc w:val="both"/>
        <w:rPr>
          <w:szCs w:val="24"/>
        </w:rPr>
      </w:pPr>
    </w:p>
    <w:p w14:paraId="3722B4D0" w14:textId="06F5014C" w:rsidR="00612D81" w:rsidRPr="00612D81" w:rsidRDefault="00293DD7" w:rsidP="00293DD7">
      <w:pPr>
        <w:pStyle w:val="Prrafodelista"/>
        <w:numPr>
          <w:ilvl w:val="0"/>
          <w:numId w:val="19"/>
        </w:numPr>
        <w:ind w:right="-2"/>
        <w:jc w:val="both"/>
        <w:rPr>
          <w:szCs w:val="24"/>
        </w:rPr>
      </w:pPr>
      <w:r w:rsidRPr="00612D81">
        <w:rPr>
          <w:szCs w:val="24"/>
        </w:rPr>
        <w:t xml:space="preserve">Los sujetos que hayan ejercido la opción establecida </w:t>
      </w:r>
      <w:r w:rsidR="00612D81" w:rsidRPr="00612D81">
        <w:rPr>
          <w:szCs w:val="24"/>
        </w:rPr>
        <w:t xml:space="preserve">por la </w:t>
      </w:r>
      <w:r w:rsidRPr="00612D81">
        <w:rPr>
          <w:szCs w:val="24"/>
        </w:rPr>
        <w:t>Resolución General N° 1.745</w:t>
      </w:r>
      <w:r w:rsidR="00612D81" w:rsidRPr="00612D81">
        <w:rPr>
          <w:szCs w:val="24"/>
        </w:rPr>
        <w:t xml:space="preserve"> y su modificatoria “IVA Anual Agropecuario”.</w:t>
      </w:r>
    </w:p>
    <w:p w14:paraId="3407939D" w14:textId="003F82C6" w:rsidR="00612D81" w:rsidRPr="00612D81" w:rsidRDefault="00612D81" w:rsidP="00293DD7">
      <w:pPr>
        <w:ind w:right="-2"/>
        <w:jc w:val="both"/>
        <w:rPr>
          <w:szCs w:val="24"/>
        </w:rPr>
      </w:pPr>
    </w:p>
    <w:p w14:paraId="1D3A4F93" w14:textId="4FF10CBA" w:rsidR="00AC79E9" w:rsidRPr="00612D81" w:rsidRDefault="00293DD7" w:rsidP="00AC79E9">
      <w:pPr>
        <w:pStyle w:val="Prrafodelista"/>
        <w:numPr>
          <w:ilvl w:val="0"/>
          <w:numId w:val="14"/>
        </w:numPr>
        <w:ind w:right="-2"/>
        <w:jc w:val="both"/>
        <w:rPr>
          <w:b/>
          <w:szCs w:val="24"/>
          <w:u w:val="single"/>
        </w:rPr>
      </w:pPr>
      <w:r w:rsidRPr="00612D81">
        <w:rPr>
          <w:b/>
          <w:szCs w:val="24"/>
          <w:u w:val="single"/>
        </w:rPr>
        <w:t>Obligaciones Alcanzadas</w:t>
      </w:r>
      <w:r w:rsidR="00C10B1F" w:rsidRPr="00612D81">
        <w:rPr>
          <w:b/>
          <w:szCs w:val="24"/>
          <w:u w:val="single"/>
        </w:rPr>
        <w:t>. Vencimiento especial</w:t>
      </w:r>
    </w:p>
    <w:p w14:paraId="4FF9AAE7" w14:textId="77777777" w:rsidR="00612D81" w:rsidRPr="00612D81" w:rsidRDefault="00612D81" w:rsidP="00612D81">
      <w:pPr>
        <w:ind w:right="-2"/>
        <w:jc w:val="both"/>
        <w:rPr>
          <w:rFonts w:eastAsiaTheme="minorHAnsi"/>
          <w:color w:val="000000"/>
          <w:szCs w:val="24"/>
          <w:lang w:eastAsia="en-US"/>
        </w:rPr>
      </w:pPr>
    </w:p>
    <w:p w14:paraId="406B5984" w14:textId="7AF97B3C" w:rsidR="00DE712E" w:rsidRPr="00612D81" w:rsidRDefault="00293DD7" w:rsidP="00612D81">
      <w:pPr>
        <w:ind w:right="-2"/>
        <w:jc w:val="both"/>
        <w:rPr>
          <w:szCs w:val="24"/>
        </w:rPr>
      </w:pPr>
      <w:r w:rsidRPr="00612D81">
        <w:rPr>
          <w:szCs w:val="24"/>
        </w:rPr>
        <w:t>Se encuentran alcanzadas por este régimen las obligaciones que, según el gravamen de que se trate, se indican a continuación:</w:t>
      </w:r>
    </w:p>
    <w:p w14:paraId="2AD1AC5B" w14:textId="1E2340D1" w:rsidR="00C84258" w:rsidRPr="00612D81" w:rsidRDefault="00C84258" w:rsidP="00C84258">
      <w:pPr>
        <w:pStyle w:val="Default"/>
        <w:rPr>
          <w:rFonts w:ascii="Times New Roman" w:hAnsi="Times New Roman" w:cs="Times New Roman"/>
        </w:rPr>
      </w:pPr>
    </w:p>
    <w:p w14:paraId="44BF4025" w14:textId="67B4B0E1" w:rsidR="00DE712E" w:rsidRPr="00612D81" w:rsidRDefault="00C84258" w:rsidP="00C84258">
      <w:pPr>
        <w:pStyle w:val="Prrafodelista"/>
        <w:numPr>
          <w:ilvl w:val="0"/>
          <w:numId w:val="22"/>
        </w:numPr>
        <w:ind w:left="709" w:right="-2" w:hanging="425"/>
        <w:jc w:val="both"/>
        <w:rPr>
          <w:szCs w:val="24"/>
        </w:rPr>
      </w:pPr>
      <w:r w:rsidRPr="00612D81">
        <w:rPr>
          <w:i/>
          <w:szCs w:val="24"/>
        </w:rPr>
        <w:lastRenderedPageBreak/>
        <w:t>Impuesto al valor agregado:</w:t>
      </w:r>
      <w:r w:rsidRPr="00612D81">
        <w:rPr>
          <w:szCs w:val="24"/>
        </w:rPr>
        <w:t xml:space="preserve"> presentación de la declaració</w:t>
      </w:r>
      <w:r w:rsidR="00476908" w:rsidRPr="00612D81">
        <w:rPr>
          <w:szCs w:val="24"/>
        </w:rPr>
        <w:t xml:space="preserve">n jurada y, en su caso, el pago, </w:t>
      </w:r>
      <w:r w:rsidRPr="00612D81">
        <w:rPr>
          <w:szCs w:val="24"/>
        </w:rPr>
        <w:t>ambos correspondientes al período fiscal diciembre del año inmediato anterior al mes de enero</w:t>
      </w:r>
      <w:r w:rsidR="00476908" w:rsidRPr="00612D81">
        <w:rPr>
          <w:szCs w:val="24"/>
        </w:rPr>
        <w:t xml:space="preserve"> </w:t>
      </w:r>
      <w:r w:rsidRPr="00612D81">
        <w:rPr>
          <w:szCs w:val="24"/>
        </w:rPr>
        <w:t>por el cual se ejerce la opción.</w:t>
      </w:r>
    </w:p>
    <w:p w14:paraId="10D83600" w14:textId="77777777" w:rsidR="00C84258" w:rsidRPr="00612D81" w:rsidRDefault="00C84258" w:rsidP="00C84258">
      <w:pPr>
        <w:pStyle w:val="Default"/>
        <w:rPr>
          <w:rFonts w:ascii="Times New Roman" w:hAnsi="Times New Roman" w:cs="Times New Roman"/>
        </w:rPr>
      </w:pPr>
    </w:p>
    <w:p w14:paraId="18835D1A" w14:textId="36F33127" w:rsidR="00B00C23" w:rsidRPr="00612D81" w:rsidRDefault="00C84258" w:rsidP="00C16F10">
      <w:pPr>
        <w:pStyle w:val="Prrafodelista"/>
        <w:numPr>
          <w:ilvl w:val="0"/>
          <w:numId w:val="22"/>
        </w:numPr>
        <w:ind w:left="709" w:right="-2" w:hanging="425"/>
        <w:jc w:val="both"/>
        <w:rPr>
          <w:szCs w:val="24"/>
        </w:rPr>
      </w:pPr>
      <w:r w:rsidRPr="00612D81">
        <w:rPr>
          <w:i/>
          <w:szCs w:val="24"/>
        </w:rPr>
        <w:t>Impuesto a las ganancias:</w:t>
      </w:r>
      <w:r w:rsidRPr="00612D81">
        <w:rPr>
          <w:szCs w:val="24"/>
        </w:rPr>
        <w:t xml:space="preserve"> presentación de la declaración jurada y, en su caso, el pago,</w:t>
      </w:r>
      <w:r w:rsidR="00476908" w:rsidRPr="00612D81">
        <w:rPr>
          <w:szCs w:val="24"/>
        </w:rPr>
        <w:t xml:space="preserve"> </w:t>
      </w:r>
      <w:r w:rsidRPr="00612D81">
        <w:rPr>
          <w:szCs w:val="24"/>
        </w:rPr>
        <w:t>ambos correspondientes al período fiscal cerrado en el mes de agosto del año inmediato</w:t>
      </w:r>
      <w:r w:rsidR="00476908" w:rsidRPr="00612D81">
        <w:rPr>
          <w:szCs w:val="24"/>
        </w:rPr>
        <w:t xml:space="preserve"> </w:t>
      </w:r>
      <w:r w:rsidRPr="00612D81">
        <w:rPr>
          <w:szCs w:val="24"/>
        </w:rPr>
        <w:t>anterior al mes de enero por el cual se ejerce la opción.</w:t>
      </w:r>
    </w:p>
    <w:p w14:paraId="37153814" w14:textId="6D8228E3" w:rsidR="00C10B1F" w:rsidRPr="00612D81" w:rsidRDefault="00C10B1F" w:rsidP="00C10B1F">
      <w:pPr>
        <w:pStyle w:val="Default"/>
        <w:rPr>
          <w:rFonts w:ascii="Times New Roman" w:hAnsi="Times New Roman" w:cs="Times New Roman"/>
        </w:rPr>
      </w:pPr>
    </w:p>
    <w:p w14:paraId="2AB1738B" w14:textId="374A3842" w:rsidR="00C10B1F" w:rsidRPr="00612D81" w:rsidRDefault="00C10B1F" w:rsidP="00C10B1F">
      <w:pPr>
        <w:ind w:right="-2"/>
        <w:jc w:val="both"/>
        <w:rPr>
          <w:szCs w:val="24"/>
        </w:rPr>
      </w:pPr>
      <w:r w:rsidRPr="00612D81">
        <w:rPr>
          <w:szCs w:val="24"/>
        </w:rPr>
        <w:t>Las obligaciones detalladas precedentemente, respecto de las cuales se hubiera ejercido la opción, vencerán el día hábil inmediato anterior a la primera fecha establecida en el cronograma de vencimientos fijado por la AFIP para idénticas obligaciones con vencimiento en el mes de febrero del año por el cual se ejerce la opción.</w:t>
      </w:r>
    </w:p>
    <w:p w14:paraId="4148C99D" w14:textId="0583E31E" w:rsidR="00977F1F" w:rsidRPr="00612D81" w:rsidRDefault="00977F1F" w:rsidP="005605DE">
      <w:pPr>
        <w:ind w:right="-2"/>
        <w:jc w:val="both"/>
        <w:rPr>
          <w:szCs w:val="24"/>
        </w:rPr>
      </w:pPr>
    </w:p>
    <w:p w14:paraId="2FAC9824" w14:textId="4263BB76" w:rsidR="00C10B1F" w:rsidRPr="00612D81" w:rsidRDefault="00C10B1F" w:rsidP="008406F6">
      <w:pPr>
        <w:pStyle w:val="Prrafodelista"/>
        <w:numPr>
          <w:ilvl w:val="0"/>
          <w:numId w:val="25"/>
        </w:numPr>
        <w:ind w:right="-2"/>
        <w:jc w:val="both"/>
        <w:rPr>
          <w:szCs w:val="24"/>
        </w:rPr>
      </w:pPr>
      <w:r w:rsidRPr="00612D81">
        <w:rPr>
          <w:b/>
          <w:szCs w:val="24"/>
          <w:u w:val="single"/>
        </w:rPr>
        <w:t>Condiciones</w:t>
      </w:r>
    </w:p>
    <w:p w14:paraId="45D38D8D" w14:textId="77777777" w:rsidR="00C10B1F" w:rsidRPr="00612D81" w:rsidRDefault="00C10B1F" w:rsidP="00C10B1F">
      <w:pPr>
        <w:pStyle w:val="Default"/>
        <w:rPr>
          <w:rFonts w:ascii="Times New Roman" w:hAnsi="Times New Roman" w:cs="Times New Roman"/>
        </w:rPr>
      </w:pPr>
    </w:p>
    <w:p w14:paraId="071B6CD8" w14:textId="2EC58645" w:rsidR="00C10B1F" w:rsidRPr="00612D81" w:rsidRDefault="00C10B1F" w:rsidP="00C10B1F">
      <w:pPr>
        <w:ind w:right="-2"/>
        <w:jc w:val="both"/>
        <w:rPr>
          <w:szCs w:val="24"/>
        </w:rPr>
      </w:pPr>
      <w:r w:rsidRPr="00612D81">
        <w:rPr>
          <w:szCs w:val="24"/>
        </w:rPr>
        <w:t>A efectos de acceder al régimen opcional, los contribuyentes no deberán registrar incumplimientos en la presentación de las declaraciones juradas de cada tributo, conforme se detalla a continuación:</w:t>
      </w:r>
    </w:p>
    <w:p w14:paraId="7D246911" w14:textId="77777777" w:rsidR="00C10B1F" w:rsidRPr="00612D81" w:rsidRDefault="00C10B1F" w:rsidP="00C10B1F">
      <w:pPr>
        <w:pStyle w:val="Default"/>
        <w:rPr>
          <w:rFonts w:ascii="Times New Roman" w:hAnsi="Times New Roman" w:cs="Times New Roman"/>
        </w:rPr>
      </w:pPr>
    </w:p>
    <w:p w14:paraId="6ABCCF05" w14:textId="50083D75" w:rsidR="00C10B1F" w:rsidRPr="00612D81" w:rsidRDefault="00C10B1F" w:rsidP="00C10B1F">
      <w:pPr>
        <w:pStyle w:val="Prrafodelista"/>
        <w:numPr>
          <w:ilvl w:val="0"/>
          <w:numId w:val="24"/>
        </w:numPr>
        <w:ind w:right="-2"/>
        <w:jc w:val="both"/>
        <w:rPr>
          <w:szCs w:val="24"/>
        </w:rPr>
      </w:pPr>
      <w:r w:rsidRPr="00612D81">
        <w:rPr>
          <w:i/>
          <w:szCs w:val="24"/>
        </w:rPr>
        <w:t>Impuesto al valor agregado:</w:t>
      </w:r>
      <w:r w:rsidRPr="00612D81">
        <w:rPr>
          <w:szCs w:val="24"/>
        </w:rPr>
        <w:t xml:space="preserve"> respecto de los últimos DOCE (12) períodos fiscales contados hasta el día 31 de octubre, inclusive, del año inmediato anterior al mes de enero por el cual se ejerce la opción, o desde la fecha de alta en el impuesto cuando se trate de sujetos que revistan la calidad de inscriptos por una menor cantidad de períodos fiscales.</w:t>
      </w:r>
    </w:p>
    <w:p w14:paraId="41B42EB3" w14:textId="77777777" w:rsidR="00C10B1F" w:rsidRPr="00612D81" w:rsidRDefault="00C10B1F" w:rsidP="00C10B1F">
      <w:pPr>
        <w:pStyle w:val="Default"/>
        <w:rPr>
          <w:rFonts w:ascii="Times New Roman" w:hAnsi="Times New Roman" w:cs="Times New Roman"/>
        </w:rPr>
      </w:pPr>
    </w:p>
    <w:p w14:paraId="5D550B89" w14:textId="233613DC" w:rsidR="00B70495" w:rsidRPr="00612D81" w:rsidRDefault="00C10B1F" w:rsidP="00612D81">
      <w:pPr>
        <w:pStyle w:val="Prrafodelista"/>
        <w:numPr>
          <w:ilvl w:val="0"/>
          <w:numId w:val="24"/>
        </w:numPr>
        <w:ind w:right="-2"/>
        <w:jc w:val="both"/>
        <w:rPr>
          <w:szCs w:val="24"/>
        </w:rPr>
      </w:pPr>
      <w:r w:rsidRPr="00612D81">
        <w:rPr>
          <w:i/>
          <w:szCs w:val="24"/>
        </w:rPr>
        <w:t>Impuesto a las ganancias:</w:t>
      </w:r>
      <w:r w:rsidRPr="00612D81">
        <w:rPr>
          <w:szCs w:val="24"/>
        </w:rPr>
        <w:t xml:space="preserve"> respecto del período fiscal inmediato anterior a aquel cuyo vencimiento opera en el mes de enero por el cual se ejerce la opción.</w:t>
      </w:r>
    </w:p>
    <w:p w14:paraId="35FA45D0" w14:textId="77777777" w:rsidR="00B70495" w:rsidRPr="00612D81" w:rsidRDefault="00B70495" w:rsidP="00B70495">
      <w:pPr>
        <w:ind w:right="-2"/>
        <w:jc w:val="both"/>
        <w:rPr>
          <w:szCs w:val="24"/>
        </w:rPr>
      </w:pPr>
    </w:p>
    <w:p w14:paraId="6825B34F" w14:textId="3BBC4E6C" w:rsidR="00B70495" w:rsidRPr="00612D81" w:rsidRDefault="00B70495" w:rsidP="00B70495">
      <w:pPr>
        <w:pStyle w:val="Prrafodelista"/>
        <w:numPr>
          <w:ilvl w:val="0"/>
          <w:numId w:val="23"/>
        </w:numPr>
        <w:ind w:right="-2"/>
        <w:jc w:val="both"/>
        <w:rPr>
          <w:szCs w:val="24"/>
        </w:rPr>
      </w:pPr>
      <w:r w:rsidRPr="00612D81">
        <w:rPr>
          <w:b/>
          <w:szCs w:val="24"/>
          <w:u w:val="single"/>
        </w:rPr>
        <w:t>Pago a cuenta</w:t>
      </w:r>
    </w:p>
    <w:p w14:paraId="483140C2" w14:textId="77777777" w:rsidR="008406F6" w:rsidRPr="00612D81" w:rsidRDefault="008406F6" w:rsidP="008406F6">
      <w:pPr>
        <w:pStyle w:val="Default"/>
        <w:rPr>
          <w:rFonts w:ascii="Times New Roman" w:hAnsi="Times New Roman" w:cs="Times New Roman"/>
        </w:rPr>
      </w:pPr>
    </w:p>
    <w:p w14:paraId="248E383B" w14:textId="051C2FA2" w:rsidR="008406F6" w:rsidRPr="00612D81" w:rsidRDefault="008406F6" w:rsidP="008406F6">
      <w:pPr>
        <w:pStyle w:val="Default"/>
        <w:jc w:val="both"/>
        <w:rPr>
          <w:rFonts w:ascii="Times New Roman" w:hAnsi="Times New Roman" w:cs="Times New Roman"/>
        </w:rPr>
      </w:pPr>
      <w:r w:rsidRPr="00612D81">
        <w:rPr>
          <w:rFonts w:ascii="Times New Roman" w:hAnsi="Times New Roman" w:cs="Times New Roman"/>
        </w:rPr>
        <w:t>Los contribuyentes que opten por el régimen establecido en la presente deberán ingresar un pago a cuenta por cada obligación detallada, siempre que el vencimiento para el pago de las mismas opere también en el mes de enero por el cual se ejerce la opción.</w:t>
      </w:r>
    </w:p>
    <w:p w14:paraId="21CF78C8" w14:textId="77777777" w:rsidR="008406F6" w:rsidRPr="00612D81" w:rsidRDefault="008406F6" w:rsidP="008406F6">
      <w:pPr>
        <w:pStyle w:val="Default"/>
        <w:jc w:val="both"/>
        <w:rPr>
          <w:rFonts w:ascii="Times New Roman" w:hAnsi="Times New Roman" w:cs="Times New Roman"/>
        </w:rPr>
      </w:pPr>
    </w:p>
    <w:p w14:paraId="421953E9" w14:textId="5AB54E20" w:rsidR="008406F6" w:rsidRPr="00612D81" w:rsidRDefault="008406F6" w:rsidP="008406F6">
      <w:pPr>
        <w:ind w:right="-2"/>
        <w:jc w:val="both"/>
        <w:rPr>
          <w:szCs w:val="24"/>
        </w:rPr>
      </w:pPr>
      <w:r w:rsidRPr="00612D81">
        <w:rPr>
          <w:szCs w:val="24"/>
        </w:rPr>
        <w:t>El importe de dicho pago a cuenta será determinado en forma automática por esta Administración Federal, considerando a tal efecto determinados parámetros obrantes en las bases de datos del Organismo como consecuencia de la presentación de las correspondientes declaraciones juradas.</w:t>
      </w:r>
    </w:p>
    <w:p w14:paraId="323F4408" w14:textId="3403FC4B" w:rsidR="00E37AD5" w:rsidRPr="00612D81" w:rsidRDefault="00E37AD5" w:rsidP="00E37AD5">
      <w:pPr>
        <w:pStyle w:val="Default"/>
        <w:rPr>
          <w:rFonts w:ascii="Times New Roman" w:hAnsi="Times New Roman" w:cs="Times New Roman"/>
        </w:rPr>
      </w:pPr>
    </w:p>
    <w:p w14:paraId="40372087" w14:textId="6C7F6AF6" w:rsidR="00E37AD5" w:rsidRPr="00612D81" w:rsidRDefault="00E37AD5" w:rsidP="00E37AD5">
      <w:pPr>
        <w:ind w:right="-2"/>
        <w:jc w:val="both"/>
        <w:rPr>
          <w:szCs w:val="24"/>
        </w:rPr>
      </w:pPr>
      <w:r w:rsidRPr="00612D81">
        <w:rPr>
          <w:szCs w:val="24"/>
        </w:rPr>
        <w:t>Los pagos a cuenta vencerán el primer día de las fechas establecidas en el cronograma de vencimientos fijados por esta Administración Federal para el impuesto al valor agregado, correspondientes al mes de enero del año por el cual se ejerce la opción, o el día hábil siguiente cuando se trate de un día feriado o inhábil.</w:t>
      </w:r>
    </w:p>
    <w:p w14:paraId="1B987B6F" w14:textId="77777777" w:rsidR="00E37AD5" w:rsidRPr="00612D81" w:rsidRDefault="00E37AD5" w:rsidP="00E37AD5">
      <w:pPr>
        <w:pStyle w:val="Default"/>
        <w:rPr>
          <w:rFonts w:ascii="Times New Roman" w:hAnsi="Times New Roman" w:cs="Times New Roman"/>
        </w:rPr>
      </w:pPr>
    </w:p>
    <w:p w14:paraId="5C77DAC1" w14:textId="424B53A8" w:rsidR="00E37AD5" w:rsidRPr="00612D81" w:rsidRDefault="00E37AD5" w:rsidP="00E37AD5">
      <w:pPr>
        <w:pStyle w:val="Default"/>
        <w:jc w:val="both"/>
        <w:rPr>
          <w:rFonts w:ascii="Times New Roman" w:hAnsi="Times New Roman" w:cs="Times New Roman"/>
        </w:rPr>
      </w:pPr>
      <w:r w:rsidRPr="00612D81">
        <w:rPr>
          <w:rFonts w:ascii="Times New Roman" w:hAnsi="Times New Roman" w:cs="Times New Roman"/>
        </w:rPr>
        <w:t>El ingreso de los pagos a cuenta se realizará mediante transferencia electrónica de fondos, utilizando a tal fin los códigos que, para cada caso, se indican a continuación:</w:t>
      </w:r>
    </w:p>
    <w:p w14:paraId="5ED535BC" w14:textId="1F88A852" w:rsidR="00B82774" w:rsidRDefault="00B82774" w:rsidP="00E37AD5">
      <w:pPr>
        <w:pStyle w:val="Default"/>
        <w:jc w:val="both"/>
        <w:rPr>
          <w:rFonts w:ascii="Times New Roman" w:hAnsi="Times New Roman" w:cs="Times New Roman"/>
        </w:rPr>
      </w:pPr>
    </w:p>
    <w:p w14:paraId="58AE02B8" w14:textId="26AB2629" w:rsidR="00612D81" w:rsidRDefault="00612D81" w:rsidP="00E37AD5">
      <w:pPr>
        <w:pStyle w:val="Default"/>
        <w:jc w:val="both"/>
        <w:rPr>
          <w:rFonts w:ascii="Times New Roman" w:hAnsi="Times New Roman" w:cs="Times New Roman"/>
        </w:rPr>
      </w:pPr>
    </w:p>
    <w:p w14:paraId="0EE3BA28" w14:textId="77777777" w:rsidR="00612D81" w:rsidRPr="00612D81" w:rsidRDefault="00612D81" w:rsidP="00E37AD5">
      <w:pPr>
        <w:pStyle w:val="Default"/>
        <w:jc w:val="both"/>
        <w:rPr>
          <w:rFonts w:ascii="Times New Roman" w:hAnsi="Times New Roman" w:cs="Times New Roman"/>
        </w:rPr>
      </w:pPr>
    </w:p>
    <w:p w14:paraId="397CDFD2" w14:textId="06A346BF" w:rsidR="00E37AD5" w:rsidRPr="00612D81" w:rsidRDefault="00E37AD5" w:rsidP="00E37AD5">
      <w:pPr>
        <w:pStyle w:val="Default"/>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2113"/>
        <w:gridCol w:w="2113"/>
        <w:gridCol w:w="2113"/>
      </w:tblGrid>
      <w:tr w:rsidR="00E37AD5" w:rsidRPr="00612D81" w14:paraId="0699E935" w14:textId="77777777" w:rsidTr="00E37AD5">
        <w:trPr>
          <w:trHeight w:val="154"/>
          <w:jc w:val="center"/>
        </w:trPr>
        <w:tc>
          <w:tcPr>
            <w:tcW w:w="2113" w:type="dxa"/>
          </w:tcPr>
          <w:p w14:paraId="00F54105" w14:textId="77777777"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b/>
                <w:bCs/>
                <w:color w:val="000000"/>
                <w:szCs w:val="24"/>
                <w:lang w:val="es-AR" w:eastAsia="en-US"/>
              </w:rPr>
              <w:lastRenderedPageBreak/>
              <w:t>IMPUESTO</w:t>
            </w:r>
          </w:p>
        </w:tc>
        <w:tc>
          <w:tcPr>
            <w:tcW w:w="2113" w:type="dxa"/>
          </w:tcPr>
          <w:p w14:paraId="5BCC1922" w14:textId="77777777"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b/>
                <w:bCs/>
                <w:color w:val="000000"/>
                <w:szCs w:val="24"/>
                <w:lang w:val="es-AR" w:eastAsia="en-US"/>
              </w:rPr>
              <w:t>CÓDIGO</w:t>
            </w:r>
          </w:p>
        </w:tc>
        <w:tc>
          <w:tcPr>
            <w:tcW w:w="2113" w:type="dxa"/>
          </w:tcPr>
          <w:p w14:paraId="3FED0FA9" w14:textId="77777777"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b/>
                <w:bCs/>
                <w:color w:val="000000"/>
                <w:szCs w:val="24"/>
                <w:lang w:val="es-AR" w:eastAsia="en-US"/>
              </w:rPr>
              <w:t>CONCEPTO</w:t>
            </w:r>
          </w:p>
        </w:tc>
        <w:tc>
          <w:tcPr>
            <w:tcW w:w="2113" w:type="dxa"/>
          </w:tcPr>
          <w:p w14:paraId="047E9154" w14:textId="77777777"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b/>
                <w:bCs/>
                <w:color w:val="000000"/>
                <w:szCs w:val="24"/>
                <w:lang w:val="es-AR" w:eastAsia="en-US"/>
              </w:rPr>
              <w:t>SUBCONCEPTO</w:t>
            </w:r>
          </w:p>
        </w:tc>
      </w:tr>
      <w:tr w:rsidR="00E37AD5" w:rsidRPr="00612D81" w14:paraId="606C0F5E" w14:textId="77777777" w:rsidTr="00E37AD5">
        <w:trPr>
          <w:trHeight w:val="152"/>
          <w:jc w:val="center"/>
        </w:trPr>
        <w:tc>
          <w:tcPr>
            <w:tcW w:w="2113" w:type="dxa"/>
          </w:tcPr>
          <w:p w14:paraId="599457BD" w14:textId="77777777" w:rsidR="00E37AD5" w:rsidRPr="00612D81" w:rsidRDefault="00E37AD5" w:rsidP="00B82774">
            <w:pPr>
              <w:autoSpaceDE w:val="0"/>
              <w:autoSpaceDN w:val="0"/>
              <w:adjustRightInd w:val="0"/>
              <w:jc w:val="center"/>
              <w:rPr>
                <w:rFonts w:eastAsiaTheme="minorHAnsi"/>
                <w:color w:val="000000"/>
                <w:szCs w:val="24"/>
                <w:lang w:val="es-AR" w:eastAsia="en-US"/>
              </w:rPr>
            </w:pPr>
            <w:r w:rsidRPr="00612D81">
              <w:rPr>
                <w:rFonts w:eastAsiaTheme="minorHAnsi"/>
                <w:color w:val="000000"/>
                <w:szCs w:val="24"/>
                <w:lang w:val="es-AR" w:eastAsia="en-US"/>
              </w:rPr>
              <w:t>IVA</w:t>
            </w:r>
          </w:p>
        </w:tc>
        <w:tc>
          <w:tcPr>
            <w:tcW w:w="2113" w:type="dxa"/>
          </w:tcPr>
          <w:p w14:paraId="2AF6E46C" w14:textId="77777777"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color w:val="000000"/>
                <w:szCs w:val="24"/>
                <w:lang w:val="es-AR" w:eastAsia="en-US"/>
              </w:rPr>
              <w:t>30</w:t>
            </w:r>
          </w:p>
        </w:tc>
        <w:tc>
          <w:tcPr>
            <w:tcW w:w="2113" w:type="dxa"/>
          </w:tcPr>
          <w:p w14:paraId="5CA5D940" w14:textId="77777777"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color w:val="000000"/>
                <w:szCs w:val="24"/>
                <w:lang w:val="es-AR" w:eastAsia="en-US"/>
              </w:rPr>
              <w:t>195</w:t>
            </w:r>
          </w:p>
        </w:tc>
        <w:tc>
          <w:tcPr>
            <w:tcW w:w="2113" w:type="dxa"/>
          </w:tcPr>
          <w:p w14:paraId="618C5A2B" w14:textId="77777777"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color w:val="000000"/>
                <w:szCs w:val="24"/>
                <w:lang w:val="es-AR" w:eastAsia="en-US"/>
              </w:rPr>
              <w:t>195</w:t>
            </w:r>
          </w:p>
        </w:tc>
      </w:tr>
      <w:tr w:rsidR="00E37AD5" w:rsidRPr="00612D81" w14:paraId="4324B9E3" w14:textId="77777777" w:rsidTr="00E37AD5">
        <w:trPr>
          <w:trHeight w:val="152"/>
          <w:jc w:val="center"/>
        </w:trPr>
        <w:tc>
          <w:tcPr>
            <w:tcW w:w="2113" w:type="dxa"/>
          </w:tcPr>
          <w:p w14:paraId="2C966AA2" w14:textId="77777777" w:rsidR="00E37AD5" w:rsidRPr="00612D81" w:rsidRDefault="00E37AD5" w:rsidP="00B82774">
            <w:pPr>
              <w:autoSpaceDE w:val="0"/>
              <w:autoSpaceDN w:val="0"/>
              <w:adjustRightInd w:val="0"/>
              <w:jc w:val="center"/>
              <w:rPr>
                <w:rFonts w:eastAsiaTheme="minorHAnsi"/>
                <w:color w:val="000000"/>
                <w:szCs w:val="24"/>
                <w:lang w:val="es-AR" w:eastAsia="en-US"/>
              </w:rPr>
            </w:pPr>
            <w:r w:rsidRPr="00612D81">
              <w:rPr>
                <w:rFonts w:eastAsiaTheme="minorHAnsi"/>
                <w:color w:val="000000"/>
                <w:szCs w:val="24"/>
                <w:lang w:val="es-AR" w:eastAsia="en-US"/>
              </w:rPr>
              <w:t>GANANCIAS</w:t>
            </w:r>
          </w:p>
        </w:tc>
        <w:tc>
          <w:tcPr>
            <w:tcW w:w="2113" w:type="dxa"/>
          </w:tcPr>
          <w:p w14:paraId="21858865" w14:textId="77777777"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color w:val="000000"/>
                <w:szCs w:val="24"/>
                <w:lang w:val="es-AR" w:eastAsia="en-US"/>
              </w:rPr>
              <w:t>10</w:t>
            </w:r>
          </w:p>
        </w:tc>
        <w:tc>
          <w:tcPr>
            <w:tcW w:w="2113" w:type="dxa"/>
          </w:tcPr>
          <w:p w14:paraId="1ACE3F5E" w14:textId="77777777"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color w:val="000000"/>
                <w:szCs w:val="24"/>
                <w:lang w:val="es-AR" w:eastAsia="en-US"/>
              </w:rPr>
              <w:t>195</w:t>
            </w:r>
          </w:p>
        </w:tc>
        <w:tc>
          <w:tcPr>
            <w:tcW w:w="2113" w:type="dxa"/>
          </w:tcPr>
          <w:p w14:paraId="7561C739" w14:textId="204F00B2" w:rsidR="00E37AD5" w:rsidRPr="00612D81" w:rsidRDefault="00E37AD5" w:rsidP="00E37AD5">
            <w:pPr>
              <w:autoSpaceDE w:val="0"/>
              <w:autoSpaceDN w:val="0"/>
              <w:adjustRightInd w:val="0"/>
              <w:jc w:val="center"/>
              <w:rPr>
                <w:rFonts w:eastAsiaTheme="minorHAnsi"/>
                <w:color w:val="000000"/>
                <w:szCs w:val="24"/>
                <w:lang w:val="es-AR" w:eastAsia="en-US"/>
              </w:rPr>
            </w:pPr>
            <w:r w:rsidRPr="00612D81">
              <w:rPr>
                <w:rFonts w:eastAsiaTheme="minorHAnsi"/>
                <w:color w:val="000000"/>
                <w:szCs w:val="24"/>
                <w:lang w:val="es-AR" w:eastAsia="en-US"/>
              </w:rPr>
              <w:t>195</w:t>
            </w:r>
          </w:p>
        </w:tc>
      </w:tr>
    </w:tbl>
    <w:p w14:paraId="40DDBD7E" w14:textId="03F45C3E" w:rsidR="00E37AD5" w:rsidRPr="00612D81" w:rsidRDefault="00E37AD5" w:rsidP="00E37AD5">
      <w:pPr>
        <w:pStyle w:val="Default"/>
        <w:jc w:val="both"/>
        <w:rPr>
          <w:rFonts w:ascii="Times New Roman" w:hAnsi="Times New Roman" w:cs="Times New Roman"/>
        </w:rPr>
      </w:pPr>
    </w:p>
    <w:p w14:paraId="508368BA" w14:textId="5C5575DE" w:rsidR="00E37AD5" w:rsidRPr="00612D81" w:rsidRDefault="00E37AD5" w:rsidP="00E37AD5">
      <w:pPr>
        <w:pStyle w:val="Default"/>
        <w:jc w:val="both"/>
        <w:rPr>
          <w:rFonts w:ascii="Times New Roman" w:hAnsi="Times New Roman" w:cs="Times New Roman"/>
        </w:rPr>
      </w:pPr>
    </w:p>
    <w:p w14:paraId="397CFA27" w14:textId="794E0328" w:rsidR="00E37AD5" w:rsidRPr="00612D81" w:rsidRDefault="00E37AD5" w:rsidP="00E37AD5">
      <w:pPr>
        <w:pStyle w:val="Prrafodelista"/>
        <w:numPr>
          <w:ilvl w:val="0"/>
          <w:numId w:val="23"/>
        </w:numPr>
        <w:ind w:right="-2"/>
        <w:jc w:val="both"/>
        <w:rPr>
          <w:szCs w:val="24"/>
        </w:rPr>
      </w:pPr>
      <w:r w:rsidRPr="00612D81">
        <w:rPr>
          <w:b/>
          <w:szCs w:val="24"/>
          <w:u w:val="single"/>
        </w:rPr>
        <w:t>Formalidades para el ejercicio de la opción</w:t>
      </w:r>
    </w:p>
    <w:p w14:paraId="18BD6408" w14:textId="77777777" w:rsidR="00E37AD5" w:rsidRPr="00612D81" w:rsidRDefault="00E37AD5" w:rsidP="00B82774">
      <w:pPr>
        <w:pStyle w:val="Default"/>
        <w:jc w:val="both"/>
        <w:rPr>
          <w:rFonts w:ascii="Times New Roman" w:hAnsi="Times New Roman" w:cs="Times New Roman"/>
        </w:rPr>
      </w:pPr>
    </w:p>
    <w:p w14:paraId="34B337C3" w14:textId="0D1F0B63" w:rsidR="00E37AD5" w:rsidRPr="00612D81" w:rsidRDefault="00E37AD5" w:rsidP="00B82774">
      <w:pPr>
        <w:pStyle w:val="Default"/>
        <w:jc w:val="both"/>
        <w:rPr>
          <w:rFonts w:ascii="Times New Roman" w:hAnsi="Times New Roman" w:cs="Times New Roman"/>
        </w:rPr>
      </w:pPr>
      <w:r w:rsidRPr="00612D81">
        <w:rPr>
          <w:rFonts w:ascii="Times New Roman" w:hAnsi="Times New Roman" w:cs="Times New Roman"/>
        </w:rPr>
        <w:t>Para adherir al presente régimen opcional se deberá ingresar con Clave Fiscal al</w:t>
      </w:r>
      <w:r w:rsidR="00B82774" w:rsidRPr="00612D81">
        <w:rPr>
          <w:rFonts w:ascii="Times New Roman" w:hAnsi="Times New Roman" w:cs="Times New Roman"/>
        </w:rPr>
        <w:t xml:space="preserve"> </w:t>
      </w:r>
      <w:r w:rsidRPr="00612D81">
        <w:rPr>
          <w:rFonts w:ascii="Times New Roman" w:hAnsi="Times New Roman" w:cs="Times New Roman"/>
        </w:rPr>
        <w:t>servicio denominado “Mis aplicaciones Web” y seleccionar el “Formulario 1239 - Opción Feria</w:t>
      </w:r>
      <w:r w:rsidR="00B82774" w:rsidRPr="00612D81">
        <w:rPr>
          <w:rFonts w:ascii="Times New Roman" w:hAnsi="Times New Roman" w:cs="Times New Roman"/>
        </w:rPr>
        <w:t xml:space="preserve"> </w:t>
      </w:r>
      <w:r w:rsidRPr="00612D81">
        <w:rPr>
          <w:rFonts w:ascii="Times New Roman" w:hAnsi="Times New Roman" w:cs="Times New Roman"/>
        </w:rPr>
        <w:t>Fiscal”, disponible en el sitio “web” institucional (https://www.afip.gob.ar).</w:t>
      </w:r>
    </w:p>
    <w:p w14:paraId="7B2663DD" w14:textId="77777777" w:rsidR="00B82774" w:rsidRPr="00612D81" w:rsidRDefault="00B82774" w:rsidP="00B82774">
      <w:pPr>
        <w:pStyle w:val="Default"/>
        <w:jc w:val="both"/>
        <w:rPr>
          <w:rFonts w:ascii="Times New Roman" w:hAnsi="Times New Roman" w:cs="Times New Roman"/>
        </w:rPr>
      </w:pPr>
    </w:p>
    <w:p w14:paraId="5A6EF7CC" w14:textId="2033C2EF" w:rsidR="00E37AD5" w:rsidRPr="00612D81" w:rsidRDefault="00E37AD5" w:rsidP="00B82774">
      <w:pPr>
        <w:pStyle w:val="Default"/>
        <w:jc w:val="both"/>
        <w:rPr>
          <w:rFonts w:ascii="Times New Roman" w:hAnsi="Times New Roman" w:cs="Times New Roman"/>
        </w:rPr>
      </w:pPr>
      <w:r w:rsidRPr="00612D81">
        <w:rPr>
          <w:rFonts w:ascii="Times New Roman" w:hAnsi="Times New Roman" w:cs="Times New Roman"/>
        </w:rPr>
        <w:t>La opción podrá ser ejercida anualmente durante el período comprendido entre el 27 de</w:t>
      </w:r>
      <w:r w:rsidR="00B82774" w:rsidRPr="00612D81">
        <w:rPr>
          <w:rFonts w:ascii="Times New Roman" w:hAnsi="Times New Roman" w:cs="Times New Roman"/>
        </w:rPr>
        <w:t xml:space="preserve"> </w:t>
      </w:r>
      <w:r w:rsidRPr="00612D81">
        <w:rPr>
          <w:rFonts w:ascii="Times New Roman" w:hAnsi="Times New Roman" w:cs="Times New Roman"/>
        </w:rPr>
        <w:t>diciembre de cada año y el día hábil inmediato anterior a la primera fecha de vencimiento que</w:t>
      </w:r>
      <w:r w:rsidR="00B82774" w:rsidRPr="00612D81">
        <w:rPr>
          <w:rFonts w:ascii="Times New Roman" w:hAnsi="Times New Roman" w:cs="Times New Roman"/>
        </w:rPr>
        <w:t xml:space="preserve"> </w:t>
      </w:r>
      <w:r w:rsidRPr="00612D81">
        <w:rPr>
          <w:rFonts w:ascii="Times New Roman" w:hAnsi="Times New Roman" w:cs="Times New Roman"/>
        </w:rPr>
        <w:t>opera en el mes de enero del año siguiente, fijada por esta Administración Federal para el</w:t>
      </w:r>
      <w:r w:rsidR="00B82774" w:rsidRPr="00612D81">
        <w:rPr>
          <w:rFonts w:ascii="Times New Roman" w:hAnsi="Times New Roman" w:cs="Times New Roman"/>
        </w:rPr>
        <w:t xml:space="preserve"> </w:t>
      </w:r>
      <w:r w:rsidRPr="00612D81">
        <w:rPr>
          <w:rFonts w:ascii="Times New Roman" w:hAnsi="Times New Roman" w:cs="Times New Roman"/>
        </w:rPr>
        <w:t>impuesto al valor agregado correspondiente al período fiscal diciembre por el que se ejerce la</w:t>
      </w:r>
      <w:r w:rsidR="00B82774" w:rsidRPr="00612D81">
        <w:rPr>
          <w:rFonts w:ascii="Times New Roman" w:hAnsi="Times New Roman" w:cs="Times New Roman"/>
        </w:rPr>
        <w:t xml:space="preserve"> </w:t>
      </w:r>
      <w:r w:rsidRPr="00612D81">
        <w:rPr>
          <w:rFonts w:ascii="Times New Roman" w:hAnsi="Times New Roman" w:cs="Times New Roman"/>
        </w:rPr>
        <w:t>misma.</w:t>
      </w:r>
    </w:p>
    <w:p w14:paraId="7CCA1C6B" w14:textId="77777777" w:rsidR="00B82774" w:rsidRPr="00612D81" w:rsidRDefault="00B82774" w:rsidP="00B82774">
      <w:pPr>
        <w:pStyle w:val="Default"/>
        <w:jc w:val="both"/>
        <w:rPr>
          <w:rFonts w:ascii="Times New Roman" w:hAnsi="Times New Roman" w:cs="Times New Roman"/>
        </w:rPr>
      </w:pPr>
    </w:p>
    <w:p w14:paraId="6E2543A5" w14:textId="27FF802C" w:rsidR="00E37AD5" w:rsidRPr="00612D81" w:rsidRDefault="00E37AD5" w:rsidP="00B82774">
      <w:pPr>
        <w:pStyle w:val="Default"/>
        <w:jc w:val="both"/>
        <w:rPr>
          <w:rFonts w:ascii="Times New Roman" w:hAnsi="Times New Roman" w:cs="Times New Roman"/>
        </w:rPr>
      </w:pPr>
      <w:r w:rsidRPr="00612D81">
        <w:rPr>
          <w:rFonts w:ascii="Times New Roman" w:hAnsi="Times New Roman" w:cs="Times New Roman"/>
        </w:rPr>
        <w:t>El ejercicio de la opción</w:t>
      </w:r>
      <w:r w:rsidR="00612D81">
        <w:rPr>
          <w:rFonts w:ascii="Times New Roman" w:hAnsi="Times New Roman" w:cs="Times New Roman"/>
        </w:rPr>
        <w:t xml:space="preserve"> revestirá carácter definitivo, </w:t>
      </w:r>
      <w:r w:rsidRPr="00612D81">
        <w:rPr>
          <w:rFonts w:ascii="Times New Roman" w:hAnsi="Times New Roman" w:cs="Times New Roman"/>
        </w:rPr>
        <w:t>no pudi</w:t>
      </w:r>
      <w:r w:rsidR="00612D81">
        <w:rPr>
          <w:rFonts w:ascii="Times New Roman" w:hAnsi="Times New Roman" w:cs="Times New Roman"/>
        </w:rPr>
        <w:t>endo ser anulada ni rectificada,</w:t>
      </w:r>
      <w:r w:rsidRPr="00612D81">
        <w:rPr>
          <w:rFonts w:ascii="Times New Roman" w:hAnsi="Times New Roman" w:cs="Times New Roman"/>
        </w:rPr>
        <w:t xml:space="preserve"> y</w:t>
      </w:r>
      <w:r w:rsidR="00B82774" w:rsidRPr="00612D81">
        <w:rPr>
          <w:rFonts w:ascii="Times New Roman" w:hAnsi="Times New Roman" w:cs="Times New Roman"/>
        </w:rPr>
        <w:t xml:space="preserve"> </w:t>
      </w:r>
      <w:r w:rsidRPr="00612D81">
        <w:rPr>
          <w:rFonts w:ascii="Times New Roman" w:hAnsi="Times New Roman" w:cs="Times New Roman"/>
        </w:rPr>
        <w:t>comprenderá a la totalidad de los impuestos previstos en esta resolución general a cargo del</w:t>
      </w:r>
    </w:p>
    <w:p w14:paraId="5597BEBB" w14:textId="5742F8C4" w:rsidR="00E37AD5" w:rsidRPr="00612D81" w:rsidRDefault="00E37AD5" w:rsidP="00B82774">
      <w:pPr>
        <w:pStyle w:val="Default"/>
        <w:jc w:val="both"/>
        <w:rPr>
          <w:rFonts w:ascii="Times New Roman" w:hAnsi="Times New Roman" w:cs="Times New Roman"/>
        </w:rPr>
      </w:pPr>
      <w:r w:rsidRPr="00612D81">
        <w:rPr>
          <w:rFonts w:ascii="Times New Roman" w:hAnsi="Times New Roman" w:cs="Times New Roman"/>
        </w:rPr>
        <w:t>contribuyente de que se trate, no resultando en consecuencia procedente adherir únicamente</w:t>
      </w:r>
      <w:r w:rsidR="00B82774" w:rsidRPr="00612D81">
        <w:rPr>
          <w:rFonts w:ascii="Times New Roman" w:hAnsi="Times New Roman" w:cs="Times New Roman"/>
        </w:rPr>
        <w:t xml:space="preserve"> </w:t>
      </w:r>
      <w:r w:rsidRPr="00612D81">
        <w:rPr>
          <w:rFonts w:ascii="Times New Roman" w:hAnsi="Times New Roman" w:cs="Times New Roman"/>
        </w:rPr>
        <w:t>por alguno de los aludidos gravámenes.</w:t>
      </w:r>
    </w:p>
    <w:p w14:paraId="3F4E68B8" w14:textId="10544627" w:rsidR="00B82774" w:rsidRPr="00612D81" w:rsidRDefault="00B82774" w:rsidP="00B82774">
      <w:pPr>
        <w:pStyle w:val="Default"/>
        <w:jc w:val="both"/>
        <w:rPr>
          <w:rFonts w:ascii="Times New Roman" w:hAnsi="Times New Roman" w:cs="Times New Roman"/>
        </w:rPr>
      </w:pPr>
    </w:p>
    <w:p w14:paraId="046509A3" w14:textId="77777777" w:rsidR="00B82774" w:rsidRPr="00612D81" w:rsidRDefault="00B82774" w:rsidP="00B82774">
      <w:pPr>
        <w:pStyle w:val="Default"/>
        <w:rPr>
          <w:rFonts w:ascii="Times New Roman" w:hAnsi="Times New Roman" w:cs="Times New Roman"/>
        </w:rPr>
      </w:pPr>
    </w:p>
    <w:p w14:paraId="0C13F5D3" w14:textId="332F5954" w:rsidR="00B82774" w:rsidRPr="00630BE6" w:rsidRDefault="00B82774" w:rsidP="00B82774">
      <w:pPr>
        <w:pStyle w:val="Default"/>
        <w:jc w:val="both"/>
        <w:rPr>
          <w:rFonts w:ascii="Times New Roman" w:hAnsi="Times New Roman" w:cs="Times New Roman"/>
          <w:i/>
        </w:rPr>
      </w:pPr>
      <w:r w:rsidRPr="00630BE6">
        <w:rPr>
          <w:rFonts w:ascii="Times New Roman" w:hAnsi="Times New Roman" w:cs="Times New Roman"/>
          <w:b/>
          <w:bCs/>
          <w:i/>
        </w:rPr>
        <w:t>PLAZO ESPECIAL PARA LA PRESENTACIÓN DE LAS DECLARACIONES JURADASCORRESPONDIENTES A LOS REGÍMENES DE INFORMACIÓN</w:t>
      </w:r>
    </w:p>
    <w:p w14:paraId="3B15A6A0" w14:textId="31004690" w:rsidR="00B82774" w:rsidRDefault="00B82774" w:rsidP="00B82774">
      <w:pPr>
        <w:pStyle w:val="Default"/>
        <w:rPr>
          <w:rFonts w:ascii="Times New Roman" w:hAnsi="Times New Roman" w:cs="Times New Roman"/>
        </w:rPr>
      </w:pPr>
    </w:p>
    <w:p w14:paraId="729FDE76" w14:textId="77777777" w:rsidR="00630BE6" w:rsidRPr="00612D81" w:rsidRDefault="00630BE6" w:rsidP="00B82774">
      <w:pPr>
        <w:pStyle w:val="Default"/>
        <w:rPr>
          <w:rFonts w:ascii="Times New Roman" w:hAnsi="Times New Roman" w:cs="Times New Roman"/>
        </w:rPr>
      </w:pPr>
    </w:p>
    <w:p w14:paraId="294702F6" w14:textId="313092B5" w:rsidR="00B82774" w:rsidRPr="00612D81" w:rsidRDefault="00B82774" w:rsidP="00B82774">
      <w:pPr>
        <w:pStyle w:val="Default"/>
        <w:jc w:val="both"/>
        <w:rPr>
          <w:rFonts w:ascii="Times New Roman" w:hAnsi="Times New Roman" w:cs="Times New Roman"/>
        </w:rPr>
      </w:pPr>
      <w:r w:rsidRPr="00612D81">
        <w:rPr>
          <w:rFonts w:ascii="Times New Roman" w:hAnsi="Times New Roman" w:cs="Times New Roman"/>
        </w:rPr>
        <w:t>La presentación de las declaraciones juradas correspondientes a los regímenes de información establecidos por este Organismo de conformidad con la normativa que resulte aplicable, cuyo vencimiento se encuentre fijado para el mes de enero de cada año, podrá efectuarse hasta el mismo día del mes inmediato siguiente o día hábil posterior si este último fuese un día feriado o inhábil.</w:t>
      </w:r>
    </w:p>
    <w:p w14:paraId="477ECFB7" w14:textId="77777777" w:rsidR="00FF2FDF" w:rsidRPr="00612D81" w:rsidRDefault="00FF2FDF" w:rsidP="005605DE">
      <w:pPr>
        <w:ind w:right="-2"/>
        <w:jc w:val="both"/>
        <w:rPr>
          <w:szCs w:val="24"/>
        </w:rPr>
      </w:pPr>
    </w:p>
    <w:p w14:paraId="35518E0B" w14:textId="77777777" w:rsidR="00AC7D07" w:rsidRPr="00612D81" w:rsidRDefault="00AC7D07" w:rsidP="005605DE">
      <w:pPr>
        <w:ind w:right="-2"/>
        <w:jc w:val="both"/>
        <w:rPr>
          <w:szCs w:val="24"/>
        </w:rPr>
      </w:pPr>
    </w:p>
    <w:p w14:paraId="26DBDC02" w14:textId="77777777" w:rsidR="001B7759" w:rsidRPr="00612D81" w:rsidRDefault="001B7759" w:rsidP="002D1A1D">
      <w:pPr>
        <w:pStyle w:val="Prrafodelista"/>
        <w:numPr>
          <w:ilvl w:val="0"/>
          <w:numId w:val="14"/>
        </w:numPr>
        <w:ind w:right="-2"/>
        <w:jc w:val="both"/>
        <w:rPr>
          <w:b/>
          <w:szCs w:val="24"/>
          <w:u w:val="single"/>
        </w:rPr>
      </w:pPr>
      <w:r w:rsidRPr="00612D81">
        <w:rPr>
          <w:b/>
          <w:szCs w:val="24"/>
          <w:u w:val="single"/>
        </w:rPr>
        <w:t>Vigencia</w:t>
      </w:r>
    </w:p>
    <w:p w14:paraId="56CF06E8" w14:textId="77777777" w:rsidR="00B82774" w:rsidRPr="00612D81" w:rsidRDefault="00B82774" w:rsidP="00B82774">
      <w:pPr>
        <w:pStyle w:val="Default"/>
        <w:ind w:left="360"/>
        <w:rPr>
          <w:rFonts w:ascii="Times New Roman" w:hAnsi="Times New Roman" w:cs="Times New Roman"/>
        </w:rPr>
      </w:pPr>
    </w:p>
    <w:p w14:paraId="26DBDC03" w14:textId="4C1CF836" w:rsidR="001B7759" w:rsidRPr="00612D81" w:rsidRDefault="001E16E8" w:rsidP="001E16E8">
      <w:pPr>
        <w:pStyle w:val="Default"/>
        <w:jc w:val="both"/>
        <w:rPr>
          <w:rFonts w:ascii="Times New Roman" w:hAnsi="Times New Roman" w:cs="Times New Roman"/>
        </w:rPr>
      </w:pPr>
      <w:r w:rsidRPr="00612D81">
        <w:rPr>
          <w:rFonts w:ascii="Times New Roman" w:hAnsi="Times New Roman" w:cs="Times New Roman"/>
        </w:rPr>
        <w:t>Las disposiciones de la presente entran en vigencia a partir del día</w:t>
      </w:r>
      <w:r w:rsidR="00B82774" w:rsidRPr="00612D81">
        <w:rPr>
          <w:rFonts w:ascii="Times New Roman" w:hAnsi="Times New Roman" w:cs="Times New Roman"/>
        </w:rPr>
        <w:t xml:space="preserve"> 24</w:t>
      </w:r>
      <w:r w:rsidRPr="00612D81">
        <w:rPr>
          <w:rFonts w:ascii="Times New Roman" w:hAnsi="Times New Roman" w:cs="Times New Roman"/>
        </w:rPr>
        <w:t xml:space="preserve"> de octubre de </w:t>
      </w:r>
      <w:r w:rsidR="00B82774" w:rsidRPr="00612D81">
        <w:rPr>
          <w:rFonts w:ascii="Times New Roman" w:hAnsi="Times New Roman" w:cs="Times New Roman"/>
        </w:rPr>
        <w:t>2023</w:t>
      </w:r>
      <w:r w:rsidRPr="00612D81">
        <w:rPr>
          <w:rFonts w:ascii="Times New Roman" w:hAnsi="Times New Roman" w:cs="Times New Roman"/>
        </w:rPr>
        <w:t>, inclusive</w:t>
      </w:r>
      <w:r w:rsidR="00B82774" w:rsidRPr="00612D81">
        <w:rPr>
          <w:rFonts w:ascii="Times New Roman" w:hAnsi="Times New Roman" w:cs="Times New Roman"/>
        </w:rPr>
        <w:t>.</w:t>
      </w:r>
    </w:p>
    <w:p w14:paraId="26DBDC08" w14:textId="78184CB0" w:rsidR="008E0771" w:rsidRPr="00612D81" w:rsidRDefault="008E0771" w:rsidP="001E16E8">
      <w:pPr>
        <w:pStyle w:val="Default"/>
        <w:jc w:val="both"/>
        <w:rPr>
          <w:rFonts w:ascii="Times New Roman" w:hAnsi="Times New Roman" w:cs="Times New Roman"/>
        </w:rPr>
      </w:pPr>
    </w:p>
    <w:p w14:paraId="195E59C3" w14:textId="77777777" w:rsidR="00B82774" w:rsidRPr="00612D81" w:rsidRDefault="00B82774" w:rsidP="0023552A">
      <w:pPr>
        <w:ind w:right="-568"/>
        <w:jc w:val="both"/>
        <w:rPr>
          <w:szCs w:val="24"/>
        </w:rPr>
      </w:pPr>
    </w:p>
    <w:p w14:paraId="1DE8CCDA" w14:textId="0E6AFCF2" w:rsidR="001E16E8" w:rsidRPr="00612D81" w:rsidRDefault="001E16E8" w:rsidP="0023552A">
      <w:pPr>
        <w:ind w:right="-568"/>
        <w:jc w:val="both"/>
        <w:rPr>
          <w:szCs w:val="24"/>
        </w:rPr>
      </w:pPr>
    </w:p>
    <w:p w14:paraId="7990EDAE" w14:textId="77777777" w:rsidR="00B82774" w:rsidRPr="00612D81" w:rsidRDefault="00B82774" w:rsidP="0023552A">
      <w:pPr>
        <w:ind w:right="-568"/>
        <w:jc w:val="both"/>
        <w:rPr>
          <w:szCs w:val="24"/>
        </w:rPr>
      </w:pPr>
    </w:p>
    <w:p w14:paraId="26DBDC09" w14:textId="69AB1357" w:rsidR="008E0771" w:rsidRPr="00612D81" w:rsidRDefault="00E530EA" w:rsidP="0023552A">
      <w:pPr>
        <w:ind w:right="-568"/>
        <w:jc w:val="both"/>
        <w:rPr>
          <w:szCs w:val="24"/>
        </w:rPr>
      </w:pPr>
      <w:r w:rsidRPr="00612D81">
        <w:rPr>
          <w:szCs w:val="24"/>
        </w:rPr>
        <w:t xml:space="preserve">Buenos Aires, </w:t>
      </w:r>
      <w:r w:rsidR="00B82774" w:rsidRPr="00612D81">
        <w:rPr>
          <w:szCs w:val="24"/>
        </w:rPr>
        <w:t xml:space="preserve">01 de noviembre </w:t>
      </w:r>
      <w:r w:rsidR="008E0771" w:rsidRPr="00612D81">
        <w:rPr>
          <w:szCs w:val="24"/>
        </w:rPr>
        <w:t>de</w:t>
      </w:r>
      <w:r w:rsidR="00977F1F" w:rsidRPr="00612D81">
        <w:rPr>
          <w:szCs w:val="24"/>
        </w:rPr>
        <w:t>l</w:t>
      </w:r>
      <w:r w:rsidR="008E0771" w:rsidRPr="00612D81">
        <w:rPr>
          <w:szCs w:val="24"/>
        </w:rPr>
        <w:t xml:space="preserve"> 20</w:t>
      </w:r>
      <w:r w:rsidR="00977F1F" w:rsidRPr="00612D81">
        <w:rPr>
          <w:szCs w:val="24"/>
        </w:rPr>
        <w:t>23</w:t>
      </w:r>
      <w:r w:rsidR="008E0771" w:rsidRPr="00612D81">
        <w:rPr>
          <w:szCs w:val="24"/>
        </w:rPr>
        <w:t>.</w:t>
      </w:r>
    </w:p>
    <w:sectPr w:rsidR="008E0771" w:rsidRPr="00612D81" w:rsidSect="0023552A">
      <w:headerReference w:type="default" r:id="rId8"/>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BDC0C" w14:textId="77777777" w:rsidR="00A04459" w:rsidRDefault="00A04459" w:rsidP="005605DE">
      <w:r>
        <w:separator/>
      </w:r>
    </w:p>
  </w:endnote>
  <w:endnote w:type="continuationSeparator" w:id="0">
    <w:p w14:paraId="26DBDC0D" w14:textId="77777777" w:rsidR="00A04459" w:rsidRDefault="00A04459" w:rsidP="0056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DC0A" w14:textId="77777777" w:rsidR="00A04459" w:rsidRDefault="00A04459" w:rsidP="005605DE">
      <w:r>
        <w:separator/>
      </w:r>
    </w:p>
  </w:footnote>
  <w:footnote w:type="continuationSeparator" w:id="0">
    <w:p w14:paraId="26DBDC0B" w14:textId="77777777" w:rsidR="00A04459" w:rsidRDefault="00A04459" w:rsidP="00560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DC0E" w14:textId="77777777" w:rsidR="00A04459" w:rsidRDefault="00A04459" w:rsidP="005605DE">
    <w:pPr>
      <w:pStyle w:val="Encabezado"/>
      <w:pBdr>
        <w:bottom w:val="single" w:sz="12" w:space="1" w:color="000080"/>
      </w:pBdr>
      <w:jc w:val="right"/>
      <w:rPr>
        <w:b/>
        <w:color w:val="000080"/>
      </w:rPr>
    </w:pPr>
    <w:r>
      <w:rPr>
        <w:b/>
        <w:color w:val="000080"/>
      </w:rPr>
      <w:t>FABETTI, BERTANI &amp; ASOCIADOS</w:t>
    </w:r>
  </w:p>
  <w:p w14:paraId="26DBDC0F" w14:textId="77777777" w:rsidR="00A04459" w:rsidRPr="005605DE" w:rsidRDefault="00A04459" w:rsidP="005605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214"/>
    <w:multiLevelType w:val="hybridMultilevel"/>
    <w:tmpl w:val="DBC845A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407255"/>
    <w:multiLevelType w:val="hybridMultilevel"/>
    <w:tmpl w:val="E60E5FBE"/>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01F2BAD"/>
    <w:multiLevelType w:val="hybridMultilevel"/>
    <w:tmpl w:val="18DAA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828A8"/>
    <w:multiLevelType w:val="hybridMultilevel"/>
    <w:tmpl w:val="BDFC066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AAB49B6"/>
    <w:multiLevelType w:val="hybridMultilevel"/>
    <w:tmpl w:val="010CA6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CA35C5C"/>
    <w:multiLevelType w:val="hybridMultilevel"/>
    <w:tmpl w:val="0AEEBB28"/>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15:restartNumberingAfterBreak="0">
    <w:nsid w:val="1CF939D5"/>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A50ADC"/>
    <w:multiLevelType w:val="hybridMultilevel"/>
    <w:tmpl w:val="8A1E3F1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15:restartNumberingAfterBreak="0">
    <w:nsid w:val="201204B7"/>
    <w:multiLevelType w:val="hybridMultilevel"/>
    <w:tmpl w:val="3012671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22A139AE"/>
    <w:multiLevelType w:val="hybridMultilevel"/>
    <w:tmpl w:val="811237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B52447"/>
    <w:multiLevelType w:val="hybridMultilevel"/>
    <w:tmpl w:val="07AEF062"/>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2300780C"/>
    <w:multiLevelType w:val="hybridMultilevel"/>
    <w:tmpl w:val="72606CF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2" w15:restartNumberingAfterBreak="0">
    <w:nsid w:val="26066048"/>
    <w:multiLevelType w:val="hybridMultilevel"/>
    <w:tmpl w:val="05026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263FF3"/>
    <w:multiLevelType w:val="hybridMultilevel"/>
    <w:tmpl w:val="1444CAA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8601315"/>
    <w:multiLevelType w:val="hybridMultilevel"/>
    <w:tmpl w:val="89BC62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4642623"/>
    <w:multiLevelType w:val="hybridMultilevel"/>
    <w:tmpl w:val="D1B214A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D884B60"/>
    <w:multiLevelType w:val="hybridMultilevel"/>
    <w:tmpl w:val="B1F6DC48"/>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3ED06BA4"/>
    <w:multiLevelType w:val="hybridMultilevel"/>
    <w:tmpl w:val="DB96CA1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E27048F"/>
    <w:multiLevelType w:val="hybridMultilevel"/>
    <w:tmpl w:val="345616B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59B5237"/>
    <w:multiLevelType w:val="multilevel"/>
    <w:tmpl w:val="ABC88F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996141"/>
    <w:multiLevelType w:val="hybridMultilevel"/>
    <w:tmpl w:val="9DD45A24"/>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1" w15:restartNumberingAfterBreak="0">
    <w:nsid w:val="649865CA"/>
    <w:multiLevelType w:val="hybridMultilevel"/>
    <w:tmpl w:val="51B4F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ADD779F"/>
    <w:multiLevelType w:val="hybridMultilevel"/>
    <w:tmpl w:val="FA867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DA444C"/>
    <w:multiLevelType w:val="hybridMultilevel"/>
    <w:tmpl w:val="94421D94"/>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4" w15:restartNumberingAfterBreak="0">
    <w:nsid w:val="77C05DEF"/>
    <w:multiLevelType w:val="hybridMultilevel"/>
    <w:tmpl w:val="B1DE28C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22"/>
  </w:num>
  <w:num w:numId="4">
    <w:abstractNumId w:val="5"/>
  </w:num>
  <w:num w:numId="5">
    <w:abstractNumId w:val="12"/>
  </w:num>
  <w:num w:numId="6">
    <w:abstractNumId w:val="21"/>
  </w:num>
  <w:num w:numId="7">
    <w:abstractNumId w:val="11"/>
  </w:num>
  <w:num w:numId="8">
    <w:abstractNumId w:val="24"/>
  </w:num>
  <w:num w:numId="9">
    <w:abstractNumId w:val="23"/>
  </w:num>
  <w:num w:numId="10">
    <w:abstractNumId w:val="20"/>
  </w:num>
  <w:num w:numId="11">
    <w:abstractNumId w:val="19"/>
  </w:num>
  <w:num w:numId="12">
    <w:abstractNumId w:val="7"/>
  </w:num>
  <w:num w:numId="13">
    <w:abstractNumId w:val="6"/>
  </w:num>
  <w:num w:numId="14">
    <w:abstractNumId w:val="9"/>
  </w:num>
  <w:num w:numId="15">
    <w:abstractNumId w:val="15"/>
  </w:num>
  <w:num w:numId="16">
    <w:abstractNumId w:val="8"/>
  </w:num>
  <w:num w:numId="17">
    <w:abstractNumId w:val="14"/>
  </w:num>
  <w:num w:numId="18">
    <w:abstractNumId w:val="13"/>
  </w:num>
  <w:num w:numId="19">
    <w:abstractNumId w:val="3"/>
  </w:num>
  <w:num w:numId="20">
    <w:abstractNumId w:val="16"/>
  </w:num>
  <w:num w:numId="21">
    <w:abstractNumId w:val="10"/>
  </w:num>
  <w:num w:numId="22">
    <w:abstractNumId w:val="1"/>
  </w:num>
  <w:num w:numId="23">
    <w:abstractNumId w:val="17"/>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51"/>
    <w:rsid w:val="00040502"/>
    <w:rsid w:val="00047607"/>
    <w:rsid w:val="00053AEB"/>
    <w:rsid w:val="000830A6"/>
    <w:rsid w:val="000B53AE"/>
    <w:rsid w:val="000C5B52"/>
    <w:rsid w:val="0010535A"/>
    <w:rsid w:val="00122BF9"/>
    <w:rsid w:val="00123363"/>
    <w:rsid w:val="00125756"/>
    <w:rsid w:val="0013287F"/>
    <w:rsid w:val="00147A90"/>
    <w:rsid w:val="001616F2"/>
    <w:rsid w:val="00173924"/>
    <w:rsid w:val="001A5182"/>
    <w:rsid w:val="001A5493"/>
    <w:rsid w:val="001B7759"/>
    <w:rsid w:val="001E16E8"/>
    <w:rsid w:val="001E2D2A"/>
    <w:rsid w:val="001E3986"/>
    <w:rsid w:val="0023552A"/>
    <w:rsid w:val="00241716"/>
    <w:rsid w:val="00271C76"/>
    <w:rsid w:val="00293DD7"/>
    <w:rsid w:val="00297DAF"/>
    <w:rsid w:val="002B3342"/>
    <w:rsid w:val="002C0B1C"/>
    <w:rsid w:val="002D1A1D"/>
    <w:rsid w:val="00314227"/>
    <w:rsid w:val="00384821"/>
    <w:rsid w:val="003A6E62"/>
    <w:rsid w:val="003B290E"/>
    <w:rsid w:val="003B57E5"/>
    <w:rsid w:val="003B7AFA"/>
    <w:rsid w:val="003E1D35"/>
    <w:rsid w:val="003F2A45"/>
    <w:rsid w:val="00430CDB"/>
    <w:rsid w:val="00432A19"/>
    <w:rsid w:val="00441CC6"/>
    <w:rsid w:val="004464AB"/>
    <w:rsid w:val="00461BE2"/>
    <w:rsid w:val="00475F5B"/>
    <w:rsid w:val="00476908"/>
    <w:rsid w:val="004A345B"/>
    <w:rsid w:val="004B02E8"/>
    <w:rsid w:val="004B6D08"/>
    <w:rsid w:val="004C19CA"/>
    <w:rsid w:val="004E3C6F"/>
    <w:rsid w:val="004F1AD9"/>
    <w:rsid w:val="004F23C5"/>
    <w:rsid w:val="0051305A"/>
    <w:rsid w:val="005234EB"/>
    <w:rsid w:val="00526213"/>
    <w:rsid w:val="00547C82"/>
    <w:rsid w:val="005570A1"/>
    <w:rsid w:val="005605DE"/>
    <w:rsid w:val="005763E2"/>
    <w:rsid w:val="00581F00"/>
    <w:rsid w:val="005A3F86"/>
    <w:rsid w:val="005B0160"/>
    <w:rsid w:val="005B2C8F"/>
    <w:rsid w:val="0060399A"/>
    <w:rsid w:val="00612D81"/>
    <w:rsid w:val="00622C83"/>
    <w:rsid w:val="00630BE6"/>
    <w:rsid w:val="00652362"/>
    <w:rsid w:val="00654F70"/>
    <w:rsid w:val="006668B4"/>
    <w:rsid w:val="006B1473"/>
    <w:rsid w:val="006D433C"/>
    <w:rsid w:val="006E52CC"/>
    <w:rsid w:val="007037F8"/>
    <w:rsid w:val="0070489E"/>
    <w:rsid w:val="00711263"/>
    <w:rsid w:val="00713AD2"/>
    <w:rsid w:val="007348F0"/>
    <w:rsid w:val="00754CDE"/>
    <w:rsid w:val="00755830"/>
    <w:rsid w:val="00761F78"/>
    <w:rsid w:val="00765774"/>
    <w:rsid w:val="00787AA6"/>
    <w:rsid w:val="00793D5C"/>
    <w:rsid w:val="00796F74"/>
    <w:rsid w:val="007A6498"/>
    <w:rsid w:val="007B0870"/>
    <w:rsid w:val="007C18D8"/>
    <w:rsid w:val="007C4E4C"/>
    <w:rsid w:val="007D5EE0"/>
    <w:rsid w:val="007F293C"/>
    <w:rsid w:val="007F63D8"/>
    <w:rsid w:val="008333EF"/>
    <w:rsid w:val="008406F6"/>
    <w:rsid w:val="008533A9"/>
    <w:rsid w:val="00855A59"/>
    <w:rsid w:val="00876C99"/>
    <w:rsid w:val="008A1701"/>
    <w:rsid w:val="008A5C55"/>
    <w:rsid w:val="008B400B"/>
    <w:rsid w:val="008C7428"/>
    <w:rsid w:val="008D29B6"/>
    <w:rsid w:val="008D5702"/>
    <w:rsid w:val="008E0771"/>
    <w:rsid w:val="008E2409"/>
    <w:rsid w:val="008F4C19"/>
    <w:rsid w:val="00906B3B"/>
    <w:rsid w:val="009429D0"/>
    <w:rsid w:val="0094306F"/>
    <w:rsid w:val="00977F1F"/>
    <w:rsid w:val="009872B7"/>
    <w:rsid w:val="009A4862"/>
    <w:rsid w:val="009B2331"/>
    <w:rsid w:val="009F5636"/>
    <w:rsid w:val="00A04459"/>
    <w:rsid w:val="00A04597"/>
    <w:rsid w:val="00A1289D"/>
    <w:rsid w:val="00A36F8E"/>
    <w:rsid w:val="00A54149"/>
    <w:rsid w:val="00A643B5"/>
    <w:rsid w:val="00A746E3"/>
    <w:rsid w:val="00A8328D"/>
    <w:rsid w:val="00AC79E9"/>
    <w:rsid w:val="00AC7D07"/>
    <w:rsid w:val="00AD3E97"/>
    <w:rsid w:val="00AD52F1"/>
    <w:rsid w:val="00AE1919"/>
    <w:rsid w:val="00B00C23"/>
    <w:rsid w:val="00B274E5"/>
    <w:rsid w:val="00B4655A"/>
    <w:rsid w:val="00B47D39"/>
    <w:rsid w:val="00B61087"/>
    <w:rsid w:val="00B70495"/>
    <w:rsid w:val="00B7768C"/>
    <w:rsid w:val="00B82774"/>
    <w:rsid w:val="00BC01B3"/>
    <w:rsid w:val="00BC7A2D"/>
    <w:rsid w:val="00BE4869"/>
    <w:rsid w:val="00BF05D6"/>
    <w:rsid w:val="00C10B1F"/>
    <w:rsid w:val="00C162D1"/>
    <w:rsid w:val="00C16848"/>
    <w:rsid w:val="00C16F10"/>
    <w:rsid w:val="00C365C5"/>
    <w:rsid w:val="00C57BB8"/>
    <w:rsid w:val="00C776E2"/>
    <w:rsid w:val="00C84258"/>
    <w:rsid w:val="00CC04EA"/>
    <w:rsid w:val="00D46CCB"/>
    <w:rsid w:val="00D46FCF"/>
    <w:rsid w:val="00D66CD5"/>
    <w:rsid w:val="00D844D1"/>
    <w:rsid w:val="00DB4811"/>
    <w:rsid w:val="00DE712E"/>
    <w:rsid w:val="00DF7C22"/>
    <w:rsid w:val="00E20DBE"/>
    <w:rsid w:val="00E24025"/>
    <w:rsid w:val="00E37AD5"/>
    <w:rsid w:val="00E530EA"/>
    <w:rsid w:val="00EA5123"/>
    <w:rsid w:val="00EA5A24"/>
    <w:rsid w:val="00EE5776"/>
    <w:rsid w:val="00EF3273"/>
    <w:rsid w:val="00F056C1"/>
    <w:rsid w:val="00F10336"/>
    <w:rsid w:val="00F1319A"/>
    <w:rsid w:val="00F2794B"/>
    <w:rsid w:val="00F3304C"/>
    <w:rsid w:val="00F832B3"/>
    <w:rsid w:val="00F914F7"/>
    <w:rsid w:val="00FA7C51"/>
    <w:rsid w:val="00FC582E"/>
    <w:rsid w:val="00FF2F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DBDB"/>
  <w15:docId w15:val="{593DCC84-A7FF-4D2C-A1E2-27BA2444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C51"/>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FA7C51"/>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FA7C51"/>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FA7C51"/>
    <w:pPr>
      <w:ind w:left="720"/>
      <w:contextualSpacing/>
    </w:pPr>
  </w:style>
  <w:style w:type="paragraph" w:styleId="Encabezado">
    <w:name w:val="header"/>
    <w:basedOn w:val="Normal"/>
    <w:link w:val="EncabezadoCar"/>
    <w:unhideWhenUsed/>
    <w:rsid w:val="005605DE"/>
    <w:pPr>
      <w:tabs>
        <w:tab w:val="center" w:pos="4252"/>
        <w:tab w:val="right" w:pos="8504"/>
      </w:tabs>
    </w:pPr>
  </w:style>
  <w:style w:type="character" w:customStyle="1" w:styleId="EncabezadoCar">
    <w:name w:val="Encabezado Car"/>
    <w:basedOn w:val="Fuentedeprrafopredeter"/>
    <w:link w:val="Encabezado"/>
    <w:uiPriority w:val="99"/>
    <w:semiHidden/>
    <w:rsid w:val="005605DE"/>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5605DE"/>
    <w:pPr>
      <w:tabs>
        <w:tab w:val="center" w:pos="4252"/>
        <w:tab w:val="right" w:pos="8504"/>
      </w:tabs>
    </w:pPr>
  </w:style>
  <w:style w:type="character" w:customStyle="1" w:styleId="PiedepginaCar">
    <w:name w:val="Pie de página Car"/>
    <w:basedOn w:val="Fuentedeprrafopredeter"/>
    <w:link w:val="Piedepgina"/>
    <w:uiPriority w:val="99"/>
    <w:semiHidden/>
    <w:rsid w:val="005605DE"/>
    <w:rPr>
      <w:rFonts w:ascii="Times New Roman" w:eastAsia="Times New Roman" w:hAnsi="Times New Roman" w:cs="Times New Roman"/>
      <w:sz w:val="24"/>
      <w:szCs w:val="20"/>
      <w:lang w:val="es-ES_tradnl" w:eastAsia="es-ES"/>
    </w:rPr>
  </w:style>
  <w:style w:type="paragraph" w:customStyle="1" w:styleId="Default">
    <w:name w:val="Default"/>
    <w:rsid w:val="0010535A"/>
    <w:pPr>
      <w:autoSpaceDE w:val="0"/>
      <w:autoSpaceDN w:val="0"/>
      <w:adjustRightInd w:val="0"/>
      <w:spacing w:after="0" w:line="240" w:lineRule="auto"/>
    </w:pPr>
    <w:rPr>
      <w:rFonts w:ascii="Verdana" w:hAnsi="Verdana" w:cs="Verdana"/>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0574">
      <w:bodyDiv w:val="1"/>
      <w:marLeft w:val="0"/>
      <w:marRight w:val="0"/>
      <w:marTop w:val="0"/>
      <w:marBottom w:val="0"/>
      <w:divBdr>
        <w:top w:val="none" w:sz="0" w:space="0" w:color="auto"/>
        <w:left w:val="none" w:sz="0" w:space="0" w:color="auto"/>
        <w:bottom w:val="none" w:sz="0" w:space="0" w:color="auto"/>
        <w:right w:val="none" w:sz="0" w:space="0" w:color="auto"/>
      </w:divBdr>
    </w:div>
    <w:div w:id="203058624">
      <w:bodyDiv w:val="1"/>
      <w:marLeft w:val="0"/>
      <w:marRight w:val="0"/>
      <w:marTop w:val="0"/>
      <w:marBottom w:val="0"/>
      <w:divBdr>
        <w:top w:val="none" w:sz="0" w:space="0" w:color="auto"/>
        <w:left w:val="none" w:sz="0" w:space="0" w:color="auto"/>
        <w:bottom w:val="none" w:sz="0" w:space="0" w:color="auto"/>
        <w:right w:val="none" w:sz="0" w:space="0" w:color="auto"/>
      </w:divBdr>
    </w:div>
    <w:div w:id="225456886">
      <w:bodyDiv w:val="1"/>
      <w:marLeft w:val="0"/>
      <w:marRight w:val="0"/>
      <w:marTop w:val="0"/>
      <w:marBottom w:val="0"/>
      <w:divBdr>
        <w:top w:val="none" w:sz="0" w:space="0" w:color="auto"/>
        <w:left w:val="none" w:sz="0" w:space="0" w:color="auto"/>
        <w:bottom w:val="none" w:sz="0" w:space="0" w:color="auto"/>
        <w:right w:val="none" w:sz="0" w:space="0" w:color="auto"/>
      </w:divBdr>
    </w:div>
    <w:div w:id="435759654">
      <w:bodyDiv w:val="1"/>
      <w:marLeft w:val="0"/>
      <w:marRight w:val="0"/>
      <w:marTop w:val="0"/>
      <w:marBottom w:val="0"/>
      <w:divBdr>
        <w:top w:val="none" w:sz="0" w:space="0" w:color="auto"/>
        <w:left w:val="none" w:sz="0" w:space="0" w:color="auto"/>
        <w:bottom w:val="none" w:sz="0" w:space="0" w:color="auto"/>
        <w:right w:val="none" w:sz="0" w:space="0" w:color="auto"/>
      </w:divBdr>
    </w:div>
    <w:div w:id="473837285">
      <w:bodyDiv w:val="1"/>
      <w:marLeft w:val="0"/>
      <w:marRight w:val="0"/>
      <w:marTop w:val="0"/>
      <w:marBottom w:val="0"/>
      <w:divBdr>
        <w:top w:val="none" w:sz="0" w:space="0" w:color="auto"/>
        <w:left w:val="none" w:sz="0" w:space="0" w:color="auto"/>
        <w:bottom w:val="none" w:sz="0" w:space="0" w:color="auto"/>
        <w:right w:val="none" w:sz="0" w:space="0" w:color="auto"/>
      </w:divBdr>
    </w:div>
    <w:div w:id="873881184">
      <w:bodyDiv w:val="1"/>
      <w:marLeft w:val="0"/>
      <w:marRight w:val="0"/>
      <w:marTop w:val="0"/>
      <w:marBottom w:val="0"/>
      <w:divBdr>
        <w:top w:val="none" w:sz="0" w:space="0" w:color="auto"/>
        <w:left w:val="none" w:sz="0" w:space="0" w:color="auto"/>
        <w:bottom w:val="none" w:sz="0" w:space="0" w:color="auto"/>
        <w:right w:val="none" w:sz="0" w:space="0" w:color="auto"/>
      </w:divBdr>
    </w:div>
    <w:div w:id="1040856246">
      <w:bodyDiv w:val="1"/>
      <w:marLeft w:val="0"/>
      <w:marRight w:val="0"/>
      <w:marTop w:val="0"/>
      <w:marBottom w:val="0"/>
      <w:divBdr>
        <w:top w:val="none" w:sz="0" w:space="0" w:color="auto"/>
        <w:left w:val="none" w:sz="0" w:space="0" w:color="auto"/>
        <w:bottom w:val="none" w:sz="0" w:space="0" w:color="auto"/>
        <w:right w:val="none" w:sz="0" w:space="0" w:color="auto"/>
      </w:divBdr>
    </w:div>
    <w:div w:id="1071074621">
      <w:bodyDiv w:val="1"/>
      <w:marLeft w:val="0"/>
      <w:marRight w:val="0"/>
      <w:marTop w:val="0"/>
      <w:marBottom w:val="0"/>
      <w:divBdr>
        <w:top w:val="none" w:sz="0" w:space="0" w:color="auto"/>
        <w:left w:val="none" w:sz="0" w:space="0" w:color="auto"/>
        <w:bottom w:val="none" w:sz="0" w:space="0" w:color="auto"/>
        <w:right w:val="none" w:sz="0" w:space="0" w:color="auto"/>
      </w:divBdr>
    </w:div>
    <w:div w:id="1269460728">
      <w:bodyDiv w:val="1"/>
      <w:marLeft w:val="0"/>
      <w:marRight w:val="0"/>
      <w:marTop w:val="0"/>
      <w:marBottom w:val="0"/>
      <w:divBdr>
        <w:top w:val="none" w:sz="0" w:space="0" w:color="auto"/>
        <w:left w:val="none" w:sz="0" w:space="0" w:color="auto"/>
        <w:bottom w:val="none" w:sz="0" w:space="0" w:color="auto"/>
        <w:right w:val="none" w:sz="0" w:space="0" w:color="auto"/>
      </w:divBdr>
    </w:div>
    <w:div w:id="1284382945">
      <w:bodyDiv w:val="1"/>
      <w:marLeft w:val="0"/>
      <w:marRight w:val="0"/>
      <w:marTop w:val="0"/>
      <w:marBottom w:val="0"/>
      <w:divBdr>
        <w:top w:val="none" w:sz="0" w:space="0" w:color="auto"/>
        <w:left w:val="none" w:sz="0" w:space="0" w:color="auto"/>
        <w:bottom w:val="none" w:sz="0" w:space="0" w:color="auto"/>
        <w:right w:val="none" w:sz="0" w:space="0" w:color="auto"/>
      </w:divBdr>
    </w:div>
    <w:div w:id="1289822287">
      <w:bodyDiv w:val="1"/>
      <w:marLeft w:val="0"/>
      <w:marRight w:val="0"/>
      <w:marTop w:val="0"/>
      <w:marBottom w:val="0"/>
      <w:divBdr>
        <w:top w:val="none" w:sz="0" w:space="0" w:color="auto"/>
        <w:left w:val="none" w:sz="0" w:space="0" w:color="auto"/>
        <w:bottom w:val="none" w:sz="0" w:space="0" w:color="auto"/>
        <w:right w:val="none" w:sz="0" w:space="0" w:color="auto"/>
      </w:divBdr>
    </w:div>
    <w:div w:id="1538009155">
      <w:bodyDiv w:val="1"/>
      <w:marLeft w:val="0"/>
      <w:marRight w:val="0"/>
      <w:marTop w:val="0"/>
      <w:marBottom w:val="0"/>
      <w:divBdr>
        <w:top w:val="none" w:sz="0" w:space="0" w:color="auto"/>
        <w:left w:val="none" w:sz="0" w:space="0" w:color="auto"/>
        <w:bottom w:val="none" w:sz="0" w:space="0" w:color="auto"/>
        <w:right w:val="none" w:sz="0" w:space="0" w:color="auto"/>
      </w:divBdr>
    </w:div>
    <w:div w:id="1635057684">
      <w:bodyDiv w:val="1"/>
      <w:marLeft w:val="0"/>
      <w:marRight w:val="0"/>
      <w:marTop w:val="0"/>
      <w:marBottom w:val="0"/>
      <w:divBdr>
        <w:top w:val="none" w:sz="0" w:space="0" w:color="auto"/>
        <w:left w:val="none" w:sz="0" w:space="0" w:color="auto"/>
        <w:bottom w:val="none" w:sz="0" w:space="0" w:color="auto"/>
        <w:right w:val="none" w:sz="0" w:space="0" w:color="auto"/>
      </w:divBdr>
    </w:div>
    <w:div w:id="1910917259">
      <w:bodyDiv w:val="1"/>
      <w:marLeft w:val="0"/>
      <w:marRight w:val="0"/>
      <w:marTop w:val="0"/>
      <w:marBottom w:val="0"/>
      <w:divBdr>
        <w:top w:val="none" w:sz="0" w:space="0" w:color="auto"/>
        <w:left w:val="none" w:sz="0" w:space="0" w:color="auto"/>
        <w:bottom w:val="none" w:sz="0" w:space="0" w:color="auto"/>
        <w:right w:val="none" w:sz="0" w:space="0" w:color="auto"/>
      </w:divBdr>
    </w:div>
    <w:div w:id="20861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A8D56-CFED-4902-9DD2-E2E9411E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897</Words>
  <Characters>4935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Banchi</dc:creator>
  <cp:lastModifiedBy>Paola Fontao</cp:lastModifiedBy>
  <cp:revision>4</cp:revision>
  <cp:lastPrinted>2019-10-04T14:38:00Z</cp:lastPrinted>
  <dcterms:created xsi:type="dcterms:W3CDTF">2023-11-01T15:48:00Z</dcterms:created>
  <dcterms:modified xsi:type="dcterms:W3CDTF">2023-11-02T13:56:00Z</dcterms:modified>
</cp:coreProperties>
</file>