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C5724" w14:textId="77777777" w:rsidR="001D16FB" w:rsidRPr="00671B1D" w:rsidRDefault="001D16FB" w:rsidP="00EB3E70">
      <w:pPr>
        <w:pStyle w:val="Ttulo1"/>
        <w:jc w:val="both"/>
        <w:rPr>
          <w:szCs w:val="24"/>
          <w:u w:val="single"/>
          <w:lang w:val="es-AR"/>
        </w:rPr>
      </w:pPr>
    </w:p>
    <w:p w14:paraId="2A180095" w14:textId="3A52B3A8" w:rsidR="004F08CC" w:rsidRPr="00671B1D" w:rsidRDefault="004F08CC" w:rsidP="00EB3E70">
      <w:pPr>
        <w:pStyle w:val="Ttulo1"/>
        <w:jc w:val="both"/>
        <w:rPr>
          <w:szCs w:val="24"/>
          <w:u w:val="single"/>
          <w:lang w:val="es-AR"/>
        </w:rPr>
      </w:pPr>
      <w:r w:rsidRPr="008C390E">
        <w:rPr>
          <w:szCs w:val="24"/>
          <w:u w:val="single"/>
          <w:lang w:val="es-AR"/>
        </w:rPr>
        <w:t xml:space="preserve">CIRCULAR </w:t>
      </w:r>
      <w:bookmarkStart w:id="0" w:name="_GoBack"/>
      <w:bookmarkEnd w:id="0"/>
      <w:r w:rsidRPr="008C390E">
        <w:rPr>
          <w:szCs w:val="24"/>
          <w:u w:val="single"/>
          <w:lang w:val="es-AR"/>
        </w:rPr>
        <w:t>IMPOSITIVA NRO.</w:t>
      </w:r>
      <w:r w:rsidR="00EF5056" w:rsidRPr="008C390E">
        <w:rPr>
          <w:szCs w:val="24"/>
          <w:u w:val="single"/>
          <w:lang w:val="es-AR"/>
        </w:rPr>
        <w:t xml:space="preserve"> </w:t>
      </w:r>
      <w:r w:rsidR="008C390E" w:rsidRPr="008C390E">
        <w:rPr>
          <w:szCs w:val="24"/>
          <w:u w:val="single"/>
          <w:lang w:val="es-AR"/>
        </w:rPr>
        <w:t>11</w:t>
      </w:r>
      <w:r w:rsidR="00C760F4">
        <w:rPr>
          <w:szCs w:val="24"/>
          <w:u w:val="single"/>
          <w:lang w:val="es-AR"/>
        </w:rPr>
        <w:t>89</w:t>
      </w:r>
    </w:p>
    <w:p w14:paraId="75DB26EC" w14:textId="77777777" w:rsidR="004F08CC" w:rsidRPr="00671B1D" w:rsidRDefault="004F08CC" w:rsidP="00EB3E70">
      <w:pPr>
        <w:pStyle w:val="Textoindependiente"/>
        <w:rPr>
          <w:szCs w:val="24"/>
          <w:u w:val="single"/>
        </w:rPr>
      </w:pPr>
    </w:p>
    <w:p w14:paraId="737120EB" w14:textId="77777777" w:rsidR="00CE181B" w:rsidRPr="00671B1D" w:rsidRDefault="00CE181B" w:rsidP="00FF4EA3">
      <w:pPr>
        <w:pStyle w:val="Ttulo5"/>
        <w:jc w:val="both"/>
        <w:rPr>
          <w:b/>
          <w:i/>
          <w:szCs w:val="24"/>
        </w:rPr>
      </w:pPr>
    </w:p>
    <w:p w14:paraId="5608DADF" w14:textId="584C0923" w:rsidR="00FF4EA3" w:rsidRPr="00C62F50" w:rsidRDefault="00FF4EA3" w:rsidP="00FF4EA3">
      <w:pPr>
        <w:pStyle w:val="Ttulo5"/>
        <w:jc w:val="both"/>
        <w:rPr>
          <w:b/>
          <w:i/>
          <w:szCs w:val="24"/>
        </w:rPr>
      </w:pPr>
      <w:r w:rsidRPr="00C62F50">
        <w:rPr>
          <w:b/>
          <w:i/>
          <w:szCs w:val="24"/>
        </w:rPr>
        <w:t xml:space="preserve">Ley (Poder Legislativo Ciudad de Buenos Aires) </w:t>
      </w:r>
      <w:r w:rsidR="00C62F50" w:rsidRPr="00C62F50">
        <w:rPr>
          <w:b/>
          <w:i/>
          <w:szCs w:val="24"/>
        </w:rPr>
        <w:t>6</w:t>
      </w:r>
      <w:r w:rsidR="001E1E4F">
        <w:rPr>
          <w:b/>
          <w:i/>
          <w:szCs w:val="24"/>
        </w:rPr>
        <w:t>655</w:t>
      </w:r>
    </w:p>
    <w:p w14:paraId="2CC16E76" w14:textId="54E9F2B4" w:rsidR="00FF4EA3" w:rsidRPr="00C62F50" w:rsidRDefault="00FF4EA3" w:rsidP="00FF4EA3">
      <w:pPr>
        <w:pStyle w:val="Ttulo5"/>
        <w:jc w:val="both"/>
        <w:rPr>
          <w:b/>
          <w:i/>
          <w:szCs w:val="24"/>
        </w:rPr>
      </w:pPr>
      <w:r w:rsidRPr="00C62F50">
        <w:rPr>
          <w:b/>
          <w:i/>
          <w:szCs w:val="24"/>
        </w:rPr>
        <w:t xml:space="preserve">Fecha de Norma: </w:t>
      </w:r>
      <w:r w:rsidR="00C62F50" w:rsidRPr="00C62F50">
        <w:rPr>
          <w:b/>
          <w:i/>
          <w:szCs w:val="24"/>
        </w:rPr>
        <w:t>1</w:t>
      </w:r>
      <w:r w:rsidR="00E52A74">
        <w:rPr>
          <w:b/>
          <w:i/>
          <w:szCs w:val="24"/>
        </w:rPr>
        <w:t>5</w:t>
      </w:r>
      <w:r w:rsidR="00FA1A68" w:rsidRPr="00C62F50">
        <w:rPr>
          <w:b/>
          <w:i/>
          <w:szCs w:val="24"/>
        </w:rPr>
        <w:t>/</w:t>
      </w:r>
      <w:r w:rsidR="00E52A74">
        <w:rPr>
          <w:b/>
          <w:i/>
          <w:szCs w:val="24"/>
        </w:rPr>
        <w:t>06</w:t>
      </w:r>
      <w:r w:rsidR="00F26360" w:rsidRPr="00C62F50">
        <w:rPr>
          <w:b/>
          <w:i/>
          <w:szCs w:val="24"/>
        </w:rPr>
        <w:t>/202</w:t>
      </w:r>
      <w:r w:rsidR="00E52A74">
        <w:rPr>
          <w:b/>
          <w:i/>
          <w:szCs w:val="24"/>
        </w:rPr>
        <w:t>3</w:t>
      </w:r>
    </w:p>
    <w:p w14:paraId="13B7695B" w14:textId="517E3B63" w:rsidR="00FF4EA3" w:rsidRPr="00671B1D" w:rsidRDefault="00FF4EA3" w:rsidP="00FF4EA3">
      <w:pPr>
        <w:pStyle w:val="Ttulo5"/>
        <w:jc w:val="both"/>
        <w:rPr>
          <w:b/>
          <w:i/>
          <w:szCs w:val="24"/>
        </w:rPr>
      </w:pPr>
      <w:r w:rsidRPr="00C62F50">
        <w:rPr>
          <w:b/>
          <w:i/>
          <w:szCs w:val="24"/>
        </w:rPr>
        <w:t xml:space="preserve">Fecha Boletín Oficial: </w:t>
      </w:r>
      <w:r w:rsidR="00E52A74">
        <w:rPr>
          <w:b/>
          <w:i/>
          <w:szCs w:val="24"/>
        </w:rPr>
        <w:t>30</w:t>
      </w:r>
      <w:r w:rsidR="00F26360" w:rsidRPr="00C62F50">
        <w:rPr>
          <w:b/>
          <w:i/>
          <w:szCs w:val="24"/>
        </w:rPr>
        <w:t>/</w:t>
      </w:r>
      <w:r w:rsidR="00E52A74">
        <w:rPr>
          <w:b/>
          <w:i/>
          <w:szCs w:val="24"/>
        </w:rPr>
        <w:t>06</w:t>
      </w:r>
      <w:r w:rsidR="00F26360" w:rsidRPr="00C62F50">
        <w:rPr>
          <w:b/>
          <w:i/>
          <w:szCs w:val="24"/>
        </w:rPr>
        <w:t>/202</w:t>
      </w:r>
      <w:r w:rsidR="00E52A74">
        <w:rPr>
          <w:b/>
          <w:i/>
          <w:szCs w:val="24"/>
        </w:rPr>
        <w:t>3</w:t>
      </w:r>
    </w:p>
    <w:p w14:paraId="7E517C48" w14:textId="77777777" w:rsidR="00FF4EA3" w:rsidRPr="00671B1D" w:rsidRDefault="00FF4EA3" w:rsidP="00EB3E70">
      <w:pPr>
        <w:pStyle w:val="Ttulo5"/>
        <w:jc w:val="both"/>
        <w:rPr>
          <w:b/>
          <w:i/>
          <w:szCs w:val="24"/>
        </w:rPr>
      </w:pPr>
    </w:p>
    <w:p w14:paraId="1719C727" w14:textId="77777777" w:rsidR="00FF4EA3" w:rsidRPr="00671B1D" w:rsidRDefault="00FF4EA3" w:rsidP="00FF4EA3"/>
    <w:p w14:paraId="52F9D359" w14:textId="77777777" w:rsidR="0027448C" w:rsidRPr="00671B1D" w:rsidRDefault="0027448C" w:rsidP="00BA5C2F">
      <w:pPr>
        <w:ind w:right="50"/>
        <w:jc w:val="both"/>
        <w:rPr>
          <w:b/>
          <w:i/>
          <w:sz w:val="24"/>
          <w:szCs w:val="24"/>
          <w:u w:val="single"/>
        </w:rPr>
      </w:pPr>
    </w:p>
    <w:p w14:paraId="552DCF4D" w14:textId="32398206" w:rsidR="00BE5A0D" w:rsidRPr="00483947" w:rsidRDefault="00727CC6" w:rsidP="003C3F0D">
      <w:pPr>
        <w:ind w:right="50"/>
        <w:jc w:val="both"/>
        <w:rPr>
          <w:b/>
          <w:i/>
          <w:sz w:val="24"/>
          <w:szCs w:val="24"/>
        </w:rPr>
      </w:pPr>
      <w:r w:rsidRPr="00483947">
        <w:rPr>
          <w:b/>
          <w:i/>
          <w:sz w:val="24"/>
          <w:szCs w:val="24"/>
          <w:u w:val="single"/>
        </w:rPr>
        <w:t xml:space="preserve">Ciudad de </w:t>
      </w:r>
      <w:r w:rsidR="00FB2481" w:rsidRPr="00483947">
        <w:rPr>
          <w:b/>
          <w:i/>
          <w:sz w:val="24"/>
          <w:szCs w:val="24"/>
          <w:u w:val="single"/>
        </w:rPr>
        <w:t>Buenos Aires</w:t>
      </w:r>
      <w:r w:rsidR="00913C93" w:rsidRPr="00483947">
        <w:rPr>
          <w:b/>
          <w:i/>
          <w:sz w:val="24"/>
          <w:szCs w:val="24"/>
          <w:u w:val="single"/>
        </w:rPr>
        <w:t>.</w:t>
      </w:r>
      <w:r w:rsidR="00E52A74" w:rsidRPr="00E52A74">
        <w:t xml:space="preserve"> </w:t>
      </w:r>
      <w:r w:rsidR="00E52A74" w:rsidRPr="00E52A74">
        <w:rPr>
          <w:b/>
          <w:i/>
          <w:sz w:val="24"/>
          <w:szCs w:val="24"/>
          <w:u w:val="single"/>
        </w:rPr>
        <w:t>Reducción de alícuotas del impuesto sobre los ingresos brutos para los sectores productivos</w:t>
      </w:r>
      <w:r w:rsidR="00F54907" w:rsidRPr="00483947">
        <w:rPr>
          <w:b/>
          <w:i/>
          <w:sz w:val="24"/>
          <w:szCs w:val="24"/>
          <w:u w:val="single"/>
        </w:rPr>
        <w:t>.</w:t>
      </w:r>
      <w:r w:rsidR="00CF6591">
        <w:rPr>
          <w:b/>
          <w:i/>
          <w:sz w:val="24"/>
          <w:szCs w:val="24"/>
          <w:u w:val="single"/>
        </w:rPr>
        <w:t xml:space="preserve"> </w:t>
      </w:r>
    </w:p>
    <w:p w14:paraId="5976B23C" w14:textId="77777777" w:rsidR="00A22AFE" w:rsidRPr="00671B1D" w:rsidRDefault="00A22AFE" w:rsidP="003C3F0D">
      <w:pPr>
        <w:jc w:val="both"/>
        <w:rPr>
          <w:sz w:val="24"/>
          <w:szCs w:val="24"/>
        </w:rPr>
      </w:pPr>
    </w:p>
    <w:p w14:paraId="39A08BE7" w14:textId="12C8F3B0" w:rsidR="00390A0C" w:rsidRPr="00671B1D" w:rsidRDefault="005C614C" w:rsidP="003C3F0D">
      <w:pPr>
        <w:jc w:val="both"/>
        <w:rPr>
          <w:sz w:val="24"/>
          <w:szCs w:val="24"/>
        </w:rPr>
      </w:pPr>
      <w:r w:rsidRPr="001F0354">
        <w:rPr>
          <w:sz w:val="24"/>
          <w:szCs w:val="24"/>
        </w:rPr>
        <w:t xml:space="preserve">Ver como complemento </w:t>
      </w:r>
      <w:r w:rsidR="00444769">
        <w:rPr>
          <w:sz w:val="24"/>
          <w:szCs w:val="24"/>
        </w:rPr>
        <w:t>la Circular Impositiva N</w:t>
      </w:r>
      <w:r>
        <w:rPr>
          <w:sz w:val="24"/>
          <w:szCs w:val="24"/>
        </w:rPr>
        <w:t>ro.114</w:t>
      </w:r>
      <w:r w:rsidR="00CD2189">
        <w:rPr>
          <w:sz w:val="24"/>
          <w:szCs w:val="24"/>
        </w:rPr>
        <w:t>8</w:t>
      </w:r>
      <w:r w:rsidR="00A9020D">
        <w:rPr>
          <w:sz w:val="24"/>
          <w:szCs w:val="24"/>
        </w:rPr>
        <w:t>.</w:t>
      </w:r>
    </w:p>
    <w:p w14:paraId="2747B7FE" w14:textId="77777777" w:rsidR="00B25173" w:rsidRDefault="00B25173" w:rsidP="00850C72">
      <w:pPr>
        <w:jc w:val="both"/>
        <w:rPr>
          <w:sz w:val="24"/>
          <w:szCs w:val="24"/>
        </w:rPr>
      </w:pPr>
    </w:p>
    <w:p w14:paraId="5F23EA2B" w14:textId="6FBC564D" w:rsidR="00B243FE" w:rsidRDefault="00A22AFE" w:rsidP="00850C72">
      <w:pPr>
        <w:jc w:val="both"/>
        <w:rPr>
          <w:sz w:val="24"/>
          <w:szCs w:val="24"/>
        </w:rPr>
      </w:pPr>
      <w:r w:rsidRPr="00671B1D">
        <w:rPr>
          <w:sz w:val="24"/>
          <w:szCs w:val="24"/>
        </w:rPr>
        <w:t xml:space="preserve">A través de la </w:t>
      </w:r>
      <w:r w:rsidR="003C2FB4" w:rsidRPr="00671B1D">
        <w:rPr>
          <w:sz w:val="24"/>
          <w:szCs w:val="24"/>
        </w:rPr>
        <w:t>L</w:t>
      </w:r>
      <w:r w:rsidRPr="00671B1D">
        <w:rPr>
          <w:sz w:val="24"/>
          <w:szCs w:val="24"/>
        </w:rPr>
        <w:t>ey</w:t>
      </w:r>
      <w:r w:rsidR="00850C72">
        <w:rPr>
          <w:sz w:val="24"/>
          <w:szCs w:val="24"/>
        </w:rPr>
        <w:t xml:space="preserve"> </w:t>
      </w:r>
      <w:r w:rsidR="00236D42" w:rsidRPr="00671B1D">
        <w:rPr>
          <w:sz w:val="24"/>
          <w:szCs w:val="24"/>
        </w:rPr>
        <w:t>de referencia</w:t>
      </w:r>
      <w:r w:rsidR="00850C72">
        <w:rPr>
          <w:sz w:val="24"/>
          <w:szCs w:val="24"/>
        </w:rPr>
        <w:t xml:space="preserve"> </w:t>
      </w:r>
      <w:r w:rsidR="003C2FB4" w:rsidRPr="00671B1D">
        <w:rPr>
          <w:sz w:val="24"/>
          <w:szCs w:val="24"/>
        </w:rPr>
        <w:t>se introd</w:t>
      </w:r>
      <w:r w:rsidRPr="00671B1D">
        <w:rPr>
          <w:sz w:val="24"/>
          <w:szCs w:val="24"/>
        </w:rPr>
        <w:t xml:space="preserve">ucen </w:t>
      </w:r>
      <w:r w:rsidR="00146B3A">
        <w:rPr>
          <w:sz w:val="24"/>
          <w:szCs w:val="24"/>
        </w:rPr>
        <w:t xml:space="preserve">las siguientes </w:t>
      </w:r>
      <w:r w:rsidRPr="00671B1D">
        <w:rPr>
          <w:sz w:val="24"/>
          <w:szCs w:val="24"/>
        </w:rPr>
        <w:t>modifi</w:t>
      </w:r>
      <w:r w:rsidR="00FA1A68" w:rsidRPr="00671B1D">
        <w:rPr>
          <w:sz w:val="24"/>
          <w:szCs w:val="24"/>
        </w:rPr>
        <w:t>caciones</w:t>
      </w:r>
      <w:r w:rsidR="00146B3A">
        <w:rPr>
          <w:sz w:val="24"/>
          <w:szCs w:val="24"/>
        </w:rPr>
        <w:t>:</w:t>
      </w:r>
    </w:p>
    <w:p w14:paraId="04550599" w14:textId="77777777" w:rsidR="00146B3A" w:rsidRDefault="00146B3A" w:rsidP="00850C72">
      <w:pPr>
        <w:jc w:val="both"/>
        <w:rPr>
          <w:sz w:val="24"/>
          <w:szCs w:val="24"/>
        </w:rPr>
      </w:pPr>
    </w:p>
    <w:p w14:paraId="2860EF3A" w14:textId="77777777" w:rsidR="00146B3A" w:rsidRPr="00671B1D" w:rsidRDefault="00146B3A" w:rsidP="00850C72">
      <w:pPr>
        <w:jc w:val="both"/>
        <w:rPr>
          <w:sz w:val="24"/>
          <w:szCs w:val="24"/>
        </w:rPr>
      </w:pPr>
    </w:p>
    <w:p w14:paraId="7FDB57DF" w14:textId="0B6572E1" w:rsidR="00D30500" w:rsidRPr="00B6433C" w:rsidRDefault="00840415" w:rsidP="00B6433C">
      <w:pPr>
        <w:pStyle w:val="Prrafodelista"/>
        <w:widowControl/>
        <w:numPr>
          <w:ilvl w:val="0"/>
          <w:numId w:val="37"/>
        </w:numPr>
        <w:jc w:val="both"/>
        <w:rPr>
          <w:b/>
          <w:sz w:val="24"/>
          <w:szCs w:val="24"/>
          <w:u w:val="single"/>
        </w:rPr>
      </w:pPr>
      <w:r>
        <w:rPr>
          <w:b/>
          <w:sz w:val="24"/>
          <w:szCs w:val="24"/>
          <w:u w:val="single"/>
        </w:rPr>
        <w:t>Modificación de alícuotas</w:t>
      </w:r>
    </w:p>
    <w:p w14:paraId="4B7AFDF9" w14:textId="77777777" w:rsidR="00B6433C" w:rsidRDefault="00B6433C" w:rsidP="00CE76B1">
      <w:pPr>
        <w:ind w:right="50"/>
        <w:jc w:val="both"/>
        <w:rPr>
          <w:sz w:val="24"/>
        </w:rPr>
      </w:pPr>
    </w:p>
    <w:p w14:paraId="6B2E08B7" w14:textId="13385E19" w:rsidR="001D59BB" w:rsidRDefault="001D59BB" w:rsidP="00840415">
      <w:pPr>
        <w:ind w:right="50"/>
        <w:jc w:val="both"/>
        <w:rPr>
          <w:sz w:val="24"/>
        </w:rPr>
      </w:pPr>
      <w:r>
        <w:rPr>
          <w:sz w:val="24"/>
        </w:rPr>
        <w:t xml:space="preserve">Se establecen las </w:t>
      </w:r>
      <w:r w:rsidR="00002957">
        <w:rPr>
          <w:sz w:val="24"/>
        </w:rPr>
        <w:t>alícuotas</w:t>
      </w:r>
      <w:r>
        <w:rPr>
          <w:sz w:val="24"/>
        </w:rPr>
        <w:t xml:space="preserve"> </w:t>
      </w:r>
      <w:r w:rsidR="00002957">
        <w:rPr>
          <w:sz w:val="24"/>
        </w:rPr>
        <w:t>para las siguientes actividades:</w:t>
      </w:r>
    </w:p>
    <w:p w14:paraId="0BC65AF7" w14:textId="77777777" w:rsidR="00002957" w:rsidRDefault="00002957" w:rsidP="00840415">
      <w:pPr>
        <w:ind w:right="50"/>
        <w:jc w:val="both"/>
        <w:rPr>
          <w:sz w:val="24"/>
        </w:rPr>
      </w:pPr>
    </w:p>
    <w:p w14:paraId="792FDEFF" w14:textId="657F3B18" w:rsidR="00081F49" w:rsidRPr="00444769" w:rsidRDefault="00002957" w:rsidP="00081F49">
      <w:pPr>
        <w:pStyle w:val="Prrafodelista"/>
        <w:numPr>
          <w:ilvl w:val="0"/>
          <w:numId w:val="44"/>
        </w:numPr>
        <w:ind w:right="50"/>
        <w:jc w:val="both"/>
        <w:rPr>
          <w:sz w:val="24"/>
        </w:rPr>
      </w:pPr>
      <w:r w:rsidRPr="00002957">
        <w:rPr>
          <w:sz w:val="24"/>
        </w:rPr>
        <w:t xml:space="preserve">Tasa del </w:t>
      </w:r>
      <w:r w:rsidRPr="00241949">
        <w:rPr>
          <w:b/>
          <w:i/>
          <w:sz w:val="24"/>
        </w:rPr>
        <w:t>0</w:t>
      </w:r>
      <w:r w:rsidR="002E1D1D" w:rsidRPr="00241949">
        <w:rPr>
          <w:b/>
          <w:i/>
          <w:sz w:val="24"/>
        </w:rPr>
        <w:t>,00</w:t>
      </w:r>
      <w:r w:rsidRPr="00241949">
        <w:rPr>
          <w:b/>
          <w:i/>
          <w:sz w:val="24"/>
        </w:rPr>
        <w:t>%</w:t>
      </w:r>
      <w:r w:rsidRPr="00002957">
        <w:rPr>
          <w:sz w:val="24"/>
        </w:rPr>
        <w:t xml:space="preserve"> para las actividades de Producción Primaria y Minera -agricultura, ganadería, caza, silvicultura y explotación de minas y canteras- especificadas en la "PLANILLA ADJUNTA DE ACTIVIDADES N.º 1 - CODIFICACIÓN NAES"</w:t>
      </w:r>
      <w:r w:rsidR="00444769">
        <w:rPr>
          <w:sz w:val="24"/>
        </w:rPr>
        <w:t xml:space="preserve"> </w:t>
      </w:r>
      <w:r w:rsidR="00444769" w:rsidRPr="00444769">
        <w:rPr>
          <w:sz w:val="24"/>
          <w:szCs w:val="24"/>
        </w:rPr>
        <w:t>(</w:t>
      </w:r>
      <w:r w:rsidR="00444769" w:rsidRPr="00444769">
        <w:rPr>
          <w:sz w:val="24"/>
          <w:szCs w:val="24"/>
          <w:shd w:val="clear" w:color="auto" w:fill="FFFFFF"/>
        </w:rPr>
        <w:t>ver Planilla Adjunta en la Circular Impositiva Nro. 1148)</w:t>
      </w:r>
      <w:r w:rsidRPr="00444769">
        <w:rPr>
          <w:sz w:val="24"/>
          <w:szCs w:val="24"/>
        </w:rPr>
        <w:t>,</w:t>
      </w:r>
      <w:r w:rsidRPr="00444769">
        <w:rPr>
          <w:sz w:val="24"/>
        </w:rPr>
        <w:t xml:space="preserve"> siempre que no se trate de actividades que, en razón de existir distintas facetas pasibles de gravamen dentro del mismo rubro, tengan previsto otro tratamiento en esta Ley o en el Código Fiscal."</w:t>
      </w:r>
    </w:p>
    <w:p w14:paraId="4EE20BA6" w14:textId="77777777" w:rsidR="002068D4" w:rsidRPr="00444769" w:rsidRDefault="002068D4" w:rsidP="002068D4">
      <w:pPr>
        <w:pStyle w:val="Prrafodelista"/>
        <w:ind w:left="720" w:right="50"/>
        <w:jc w:val="both"/>
        <w:rPr>
          <w:sz w:val="24"/>
        </w:rPr>
      </w:pPr>
    </w:p>
    <w:p w14:paraId="282AEF5D" w14:textId="47B530EE" w:rsidR="00081F49" w:rsidRPr="00444769" w:rsidRDefault="002E1D1D" w:rsidP="00081F49">
      <w:pPr>
        <w:pStyle w:val="Prrafodelista"/>
        <w:numPr>
          <w:ilvl w:val="0"/>
          <w:numId w:val="44"/>
        </w:numPr>
        <w:ind w:right="50"/>
        <w:jc w:val="both"/>
        <w:rPr>
          <w:sz w:val="24"/>
        </w:rPr>
      </w:pPr>
      <w:r w:rsidRPr="00444769">
        <w:rPr>
          <w:sz w:val="24"/>
        </w:rPr>
        <w:t xml:space="preserve">Tasa del </w:t>
      </w:r>
      <w:r w:rsidRPr="00444769">
        <w:rPr>
          <w:b/>
          <w:i/>
          <w:sz w:val="24"/>
        </w:rPr>
        <w:t>1,00%</w:t>
      </w:r>
      <w:r w:rsidR="00081F49" w:rsidRPr="00444769">
        <w:rPr>
          <w:sz w:val="24"/>
        </w:rPr>
        <w:t xml:space="preserve"> para las siguientes actividades de Producción y Elaboración de Bienes, especificadas en la "PLANILLA ADJUNTA DE ACTIVIDA</w:t>
      </w:r>
      <w:r w:rsidR="00444769" w:rsidRPr="00444769">
        <w:rPr>
          <w:sz w:val="24"/>
        </w:rPr>
        <w:t xml:space="preserve">DES N.º 2 - CODIFICACIÓN NAES" </w:t>
      </w:r>
      <w:r w:rsidR="00444769" w:rsidRPr="00444769">
        <w:rPr>
          <w:sz w:val="24"/>
          <w:szCs w:val="24"/>
        </w:rPr>
        <w:t>(</w:t>
      </w:r>
      <w:r w:rsidR="00444769" w:rsidRPr="00444769">
        <w:rPr>
          <w:sz w:val="24"/>
          <w:szCs w:val="24"/>
          <w:shd w:val="clear" w:color="auto" w:fill="FFFFFF"/>
        </w:rPr>
        <w:t>ver Planilla Adjunta en la Circular Impositiva Nro. 1148)</w:t>
      </w:r>
      <w:r w:rsidR="00444769" w:rsidRPr="00444769">
        <w:rPr>
          <w:sz w:val="24"/>
          <w:szCs w:val="24"/>
        </w:rPr>
        <w:t>,</w:t>
      </w:r>
      <w:r w:rsidR="00444769" w:rsidRPr="00444769">
        <w:rPr>
          <w:sz w:val="24"/>
        </w:rPr>
        <w:t xml:space="preserve"> </w:t>
      </w:r>
      <w:r w:rsidR="00081F49" w:rsidRPr="00444769">
        <w:rPr>
          <w:sz w:val="24"/>
        </w:rPr>
        <w:t>en tanto no tengan previsto otro tratamiento en esta Ley o en el Código Fiscal.</w:t>
      </w:r>
    </w:p>
    <w:p w14:paraId="6B31CD39" w14:textId="77777777" w:rsidR="004E4F1A" w:rsidRPr="00444769" w:rsidRDefault="003B7213" w:rsidP="004E4F1A">
      <w:pPr>
        <w:pStyle w:val="Prrafodelista"/>
        <w:ind w:left="720" w:right="50"/>
        <w:jc w:val="both"/>
        <w:rPr>
          <w:sz w:val="24"/>
        </w:rPr>
      </w:pPr>
      <w:r w:rsidRPr="00444769">
        <w:rPr>
          <w:sz w:val="24"/>
        </w:rPr>
        <w:t>Los supuestos previstos no alcanzan a los ingresos obtenidos por las ventas efectuadas a los Estados Nacional, Provincial, al Gobierno de la Ciudad Autónoma de Buenos Aires, Municipalidades, sus dependencias, reparticiones autárquicas, empresas o sociedades de estado o en las que los mismos tengan participación mayoritaria</w:t>
      </w:r>
      <w:r w:rsidR="00D15316" w:rsidRPr="00444769">
        <w:rPr>
          <w:sz w:val="24"/>
        </w:rPr>
        <w:t xml:space="preserve"> o</w:t>
      </w:r>
      <w:r w:rsidRPr="00444769">
        <w:rPr>
          <w:sz w:val="24"/>
        </w:rPr>
        <w:t xml:space="preserve"> a consumidores finales, los que tienen el mismo tratamiento que el sector de comercialización minorista.</w:t>
      </w:r>
    </w:p>
    <w:p w14:paraId="0DB3D024" w14:textId="66C33DA1" w:rsidR="004E4F1A" w:rsidRPr="00444769" w:rsidRDefault="004E4F1A" w:rsidP="004E4F1A">
      <w:pPr>
        <w:pStyle w:val="Prrafodelista"/>
        <w:ind w:left="720" w:right="50"/>
        <w:jc w:val="both"/>
        <w:rPr>
          <w:sz w:val="24"/>
        </w:rPr>
      </w:pPr>
      <w:r w:rsidRPr="00444769">
        <w:rPr>
          <w:sz w:val="24"/>
        </w:rPr>
        <w:t>La producción o desarrollo de software, queda exceptuado de la exclusión de las ventas a consumidor final con vigencia a la fecha de promulgación de esta última norma.</w:t>
      </w:r>
    </w:p>
    <w:p w14:paraId="69B67A0F" w14:textId="0ABCDD00" w:rsidR="004E4F1A" w:rsidRPr="00444769" w:rsidRDefault="004E4F1A" w:rsidP="004E4F1A">
      <w:pPr>
        <w:pStyle w:val="Prrafodelista"/>
        <w:ind w:left="720" w:right="50"/>
        <w:jc w:val="both"/>
        <w:rPr>
          <w:sz w:val="24"/>
        </w:rPr>
      </w:pPr>
      <w:r w:rsidRPr="00444769">
        <w:rPr>
          <w:sz w:val="24"/>
        </w:rPr>
        <w:t xml:space="preserve">La venta de bienes muebles destinados a ser afectados por los compradores en la actividad como "bienes de uso" tributa bajo el régimen general. La </w:t>
      </w:r>
      <w:r w:rsidR="00DC4E4F" w:rsidRPr="00444769">
        <w:rPr>
          <w:sz w:val="24"/>
        </w:rPr>
        <w:t>AGIP</w:t>
      </w:r>
      <w:r w:rsidRPr="00444769">
        <w:rPr>
          <w:sz w:val="24"/>
        </w:rPr>
        <w:t xml:space="preserve"> procederá a reglamentar su instrumentación.</w:t>
      </w:r>
    </w:p>
    <w:p w14:paraId="34189423" w14:textId="2E7B9E17" w:rsidR="004E4F1A" w:rsidRPr="00444769" w:rsidRDefault="004E4F1A" w:rsidP="00727604">
      <w:pPr>
        <w:pStyle w:val="Prrafodelista"/>
        <w:ind w:left="720" w:right="50"/>
        <w:jc w:val="both"/>
        <w:rPr>
          <w:sz w:val="24"/>
        </w:rPr>
      </w:pPr>
      <w:r w:rsidRPr="00444769">
        <w:rPr>
          <w:sz w:val="24"/>
        </w:rPr>
        <w:t>Esta alícuota no alcanza a las actividades hidrocarburíferas y sus servicios complementarios</w:t>
      </w:r>
      <w:r w:rsidR="00727604" w:rsidRPr="00444769">
        <w:rPr>
          <w:sz w:val="24"/>
        </w:rPr>
        <w:t>.</w:t>
      </w:r>
    </w:p>
    <w:p w14:paraId="576CA71B" w14:textId="77777777" w:rsidR="00241949" w:rsidRPr="00444769" w:rsidRDefault="00241949" w:rsidP="00727604">
      <w:pPr>
        <w:pStyle w:val="Prrafodelista"/>
        <w:ind w:left="720" w:right="50"/>
        <w:jc w:val="both"/>
        <w:rPr>
          <w:sz w:val="24"/>
        </w:rPr>
      </w:pPr>
    </w:p>
    <w:p w14:paraId="19153391" w14:textId="0D23040A" w:rsidR="00727604" w:rsidRDefault="00727604" w:rsidP="00727604">
      <w:pPr>
        <w:pStyle w:val="Prrafodelista"/>
        <w:numPr>
          <w:ilvl w:val="0"/>
          <w:numId w:val="44"/>
        </w:numPr>
        <w:ind w:right="50"/>
        <w:jc w:val="both"/>
        <w:rPr>
          <w:sz w:val="24"/>
        </w:rPr>
      </w:pPr>
      <w:r w:rsidRPr="00444769">
        <w:rPr>
          <w:sz w:val="24"/>
        </w:rPr>
        <w:t xml:space="preserve">Tasa del </w:t>
      </w:r>
      <w:r w:rsidRPr="00444769">
        <w:rPr>
          <w:b/>
          <w:i/>
          <w:sz w:val="24"/>
        </w:rPr>
        <w:t>2,00%</w:t>
      </w:r>
      <w:r w:rsidRPr="00444769">
        <w:rPr>
          <w:sz w:val="24"/>
        </w:rPr>
        <w:t xml:space="preserve"> para las actividades de la Construcción y sus servicios especificadas en la "PLANILLA ADJUNTA DE ACTIVIDADES N.º 4 - CODIFICACIÓN NAES" </w:t>
      </w:r>
      <w:r w:rsidR="00444769" w:rsidRPr="00444769">
        <w:rPr>
          <w:sz w:val="24"/>
          <w:szCs w:val="24"/>
        </w:rPr>
        <w:t>(</w:t>
      </w:r>
      <w:r w:rsidR="00444769" w:rsidRPr="00444769">
        <w:rPr>
          <w:sz w:val="24"/>
          <w:szCs w:val="24"/>
          <w:shd w:val="clear" w:color="auto" w:fill="FFFFFF"/>
        </w:rPr>
        <w:t>ver Planilla Adjunta en la Circular Impositiva Nro. 1148)</w:t>
      </w:r>
      <w:r w:rsidR="00444769" w:rsidRPr="00444769">
        <w:rPr>
          <w:sz w:val="24"/>
          <w:szCs w:val="24"/>
        </w:rPr>
        <w:t>,</w:t>
      </w:r>
      <w:r w:rsidR="00444769" w:rsidRPr="00444769">
        <w:rPr>
          <w:sz w:val="24"/>
        </w:rPr>
        <w:t xml:space="preserve"> </w:t>
      </w:r>
      <w:r w:rsidRPr="00444769">
        <w:rPr>
          <w:sz w:val="24"/>
        </w:rPr>
        <w:t>siempre que no se trat</w:t>
      </w:r>
      <w:r w:rsidRPr="00727604">
        <w:rPr>
          <w:sz w:val="24"/>
        </w:rPr>
        <w:t>e de actividades que, en razón de existir distintas facetas pasibles de gravamen dentro del mismo rubro, no tengan previsto otro tratamiento en esta Ley o en el Código Fiscal."</w:t>
      </w:r>
    </w:p>
    <w:p w14:paraId="66542850" w14:textId="77777777" w:rsidR="00241949" w:rsidRPr="00727604" w:rsidRDefault="00241949" w:rsidP="00241949">
      <w:pPr>
        <w:pStyle w:val="Prrafodelista"/>
        <w:ind w:left="720" w:right="50"/>
        <w:jc w:val="both"/>
        <w:rPr>
          <w:sz w:val="24"/>
        </w:rPr>
      </w:pPr>
    </w:p>
    <w:p w14:paraId="0A46FD9E" w14:textId="645F9894" w:rsidR="00002957" w:rsidRDefault="00C23187" w:rsidP="00002957">
      <w:pPr>
        <w:pStyle w:val="Prrafodelista"/>
        <w:numPr>
          <w:ilvl w:val="0"/>
          <w:numId w:val="43"/>
        </w:numPr>
        <w:ind w:right="50"/>
        <w:jc w:val="both"/>
        <w:rPr>
          <w:sz w:val="24"/>
        </w:rPr>
      </w:pPr>
      <w:r>
        <w:rPr>
          <w:sz w:val="24"/>
        </w:rPr>
        <w:t xml:space="preserve">Tasa del </w:t>
      </w:r>
      <w:r w:rsidRPr="00241949">
        <w:rPr>
          <w:b/>
          <w:i/>
          <w:sz w:val="24"/>
        </w:rPr>
        <w:t>2</w:t>
      </w:r>
      <w:r w:rsidR="00241949" w:rsidRPr="00241949">
        <w:rPr>
          <w:b/>
          <w:i/>
          <w:sz w:val="24"/>
        </w:rPr>
        <w:t>,00</w:t>
      </w:r>
      <w:r w:rsidRPr="00241949">
        <w:rPr>
          <w:b/>
          <w:i/>
          <w:sz w:val="24"/>
        </w:rPr>
        <w:t>%</w:t>
      </w:r>
      <w:r>
        <w:rPr>
          <w:sz w:val="24"/>
        </w:rPr>
        <w:t xml:space="preserve"> para las actividades de Fabricación de Papel:</w:t>
      </w:r>
    </w:p>
    <w:p w14:paraId="1E254056" w14:textId="1BBEA439" w:rsidR="00C23187" w:rsidRDefault="00C23187" w:rsidP="00C23187">
      <w:pPr>
        <w:pStyle w:val="Prrafodelista"/>
        <w:numPr>
          <w:ilvl w:val="1"/>
          <w:numId w:val="43"/>
        </w:numPr>
        <w:ind w:right="50"/>
        <w:jc w:val="both"/>
        <w:rPr>
          <w:sz w:val="24"/>
        </w:rPr>
      </w:pPr>
      <w:r>
        <w:rPr>
          <w:sz w:val="24"/>
        </w:rPr>
        <w:t>170101 – Fabricación de pasta de madera</w:t>
      </w:r>
    </w:p>
    <w:p w14:paraId="45395141" w14:textId="0AD2CA9B" w:rsidR="00C23187" w:rsidRDefault="00C23187" w:rsidP="00C23187">
      <w:pPr>
        <w:pStyle w:val="Prrafodelista"/>
        <w:numPr>
          <w:ilvl w:val="1"/>
          <w:numId w:val="43"/>
        </w:numPr>
        <w:ind w:right="50"/>
        <w:jc w:val="both"/>
        <w:rPr>
          <w:sz w:val="24"/>
        </w:rPr>
      </w:pPr>
      <w:r>
        <w:rPr>
          <w:sz w:val="24"/>
        </w:rPr>
        <w:t>170102 – Fabricación de papel cartón excepto envases</w:t>
      </w:r>
    </w:p>
    <w:p w14:paraId="3F8D9514" w14:textId="6D4A224D" w:rsidR="00C23187" w:rsidRDefault="00C23187" w:rsidP="00C23187">
      <w:pPr>
        <w:pStyle w:val="Prrafodelista"/>
        <w:numPr>
          <w:ilvl w:val="1"/>
          <w:numId w:val="43"/>
        </w:numPr>
        <w:ind w:right="50"/>
        <w:jc w:val="both"/>
        <w:rPr>
          <w:sz w:val="24"/>
        </w:rPr>
      </w:pPr>
      <w:r>
        <w:rPr>
          <w:sz w:val="24"/>
        </w:rPr>
        <w:t>170201 – Fabricación de papel ondulado y envases de papel</w:t>
      </w:r>
    </w:p>
    <w:p w14:paraId="19020563" w14:textId="426D6033" w:rsidR="00C23187" w:rsidRDefault="00C23187" w:rsidP="00C23187">
      <w:pPr>
        <w:pStyle w:val="Prrafodelista"/>
        <w:numPr>
          <w:ilvl w:val="1"/>
          <w:numId w:val="43"/>
        </w:numPr>
        <w:ind w:right="50"/>
        <w:jc w:val="both"/>
        <w:rPr>
          <w:sz w:val="24"/>
        </w:rPr>
      </w:pPr>
      <w:r>
        <w:rPr>
          <w:sz w:val="24"/>
        </w:rPr>
        <w:t>170202 – Fabricación de cartón ondulado y envases de cartón</w:t>
      </w:r>
    </w:p>
    <w:p w14:paraId="791056B8" w14:textId="02DBDB04" w:rsidR="00241949" w:rsidRDefault="00241949" w:rsidP="00241949">
      <w:pPr>
        <w:pStyle w:val="Prrafodelista"/>
        <w:ind w:left="1440" w:right="50"/>
        <w:jc w:val="both"/>
        <w:rPr>
          <w:sz w:val="24"/>
        </w:rPr>
      </w:pPr>
    </w:p>
    <w:p w14:paraId="476DD9D5" w14:textId="77777777" w:rsidR="00241949" w:rsidRPr="00002957" w:rsidRDefault="00241949" w:rsidP="00241949">
      <w:pPr>
        <w:pStyle w:val="Prrafodelista"/>
        <w:ind w:left="1440" w:right="50"/>
        <w:jc w:val="both"/>
        <w:rPr>
          <w:sz w:val="24"/>
        </w:rPr>
      </w:pPr>
    </w:p>
    <w:p w14:paraId="247DD576" w14:textId="17D8FFD9" w:rsidR="00FE68E4" w:rsidRPr="00B6433C" w:rsidRDefault="00FE68E4" w:rsidP="00FE68E4">
      <w:pPr>
        <w:pStyle w:val="Prrafodelista"/>
        <w:widowControl/>
        <w:numPr>
          <w:ilvl w:val="0"/>
          <w:numId w:val="37"/>
        </w:numPr>
        <w:jc w:val="both"/>
        <w:rPr>
          <w:b/>
          <w:sz w:val="24"/>
          <w:szCs w:val="24"/>
          <w:u w:val="single"/>
        </w:rPr>
      </w:pPr>
      <w:bookmarkStart w:id="1" w:name="ART_5"/>
      <w:bookmarkEnd w:id="1"/>
      <w:r>
        <w:rPr>
          <w:b/>
          <w:sz w:val="24"/>
          <w:szCs w:val="24"/>
          <w:u w:val="single"/>
        </w:rPr>
        <w:t>Reducción de alícuotas</w:t>
      </w:r>
    </w:p>
    <w:p w14:paraId="43FC4D65" w14:textId="77777777" w:rsidR="00FE68E4" w:rsidRDefault="00FE68E4" w:rsidP="00CE76B1">
      <w:pPr>
        <w:ind w:right="50"/>
        <w:jc w:val="both"/>
        <w:rPr>
          <w:b/>
          <w:bCs/>
          <w:sz w:val="24"/>
        </w:rPr>
      </w:pPr>
    </w:p>
    <w:p w14:paraId="5341B6C7" w14:textId="66C59C9C" w:rsidR="00E15A28" w:rsidRDefault="00CE76B1" w:rsidP="00CE76B1">
      <w:pPr>
        <w:ind w:right="50"/>
        <w:jc w:val="both"/>
        <w:rPr>
          <w:sz w:val="24"/>
        </w:rPr>
      </w:pPr>
      <w:r w:rsidRPr="00CE76B1">
        <w:rPr>
          <w:sz w:val="24"/>
        </w:rPr>
        <w:t>Se reduc</w:t>
      </w:r>
      <w:r w:rsidR="00E15A28">
        <w:rPr>
          <w:sz w:val="24"/>
        </w:rPr>
        <w:t>e</w:t>
      </w:r>
      <w:r w:rsidRPr="00CE76B1">
        <w:rPr>
          <w:sz w:val="24"/>
        </w:rPr>
        <w:t xml:space="preserve"> la alícuota en el impuesto sobre los ingresos brutos para las siguientes actividades:</w:t>
      </w:r>
    </w:p>
    <w:p w14:paraId="3B1910CE" w14:textId="77777777" w:rsidR="007A6191" w:rsidRDefault="007A6191" w:rsidP="00CE76B1">
      <w:pPr>
        <w:ind w:right="50"/>
        <w:jc w:val="both"/>
        <w:rPr>
          <w:sz w:val="24"/>
        </w:rPr>
      </w:pPr>
    </w:p>
    <w:p w14:paraId="7CA14FB2" w14:textId="537B6902" w:rsidR="00241949" w:rsidRDefault="00CE76B1" w:rsidP="00CE76B1">
      <w:pPr>
        <w:pStyle w:val="Prrafodelista"/>
        <w:numPr>
          <w:ilvl w:val="0"/>
          <w:numId w:val="45"/>
        </w:numPr>
        <w:ind w:right="50"/>
        <w:jc w:val="both"/>
        <w:rPr>
          <w:sz w:val="24"/>
        </w:rPr>
      </w:pPr>
      <w:r w:rsidRPr="00241949">
        <w:rPr>
          <w:sz w:val="24"/>
        </w:rPr>
        <w:t>Operaciones de pases reguladas por el Banco Central de la República Argentina, cuando los activos subyacentes o colaterales sean los autorizados por dicha entidad.</w:t>
      </w:r>
    </w:p>
    <w:p w14:paraId="4078499E" w14:textId="77777777" w:rsidR="00241949" w:rsidRDefault="00241949" w:rsidP="00241949">
      <w:pPr>
        <w:pStyle w:val="Prrafodelista"/>
        <w:ind w:left="720" w:right="50"/>
        <w:jc w:val="both"/>
        <w:rPr>
          <w:sz w:val="24"/>
        </w:rPr>
      </w:pPr>
    </w:p>
    <w:p w14:paraId="3F51A68F" w14:textId="32081F30" w:rsidR="00CE76B1" w:rsidRPr="00241949" w:rsidRDefault="00CE76B1" w:rsidP="00CE76B1">
      <w:pPr>
        <w:pStyle w:val="Prrafodelista"/>
        <w:numPr>
          <w:ilvl w:val="0"/>
          <w:numId w:val="45"/>
        </w:numPr>
        <w:ind w:right="50"/>
        <w:jc w:val="both"/>
        <w:rPr>
          <w:sz w:val="24"/>
        </w:rPr>
      </w:pPr>
      <w:r w:rsidRPr="00241949">
        <w:rPr>
          <w:sz w:val="24"/>
        </w:rPr>
        <w:t>Operaciones sobre títulos, bonos, letras, certificados de participación y demás instrumentos emitidos y que se emitan en el futuro por el Banco Central de la República Argentina.</w:t>
      </w:r>
    </w:p>
    <w:p w14:paraId="2E43FB3A" w14:textId="77777777" w:rsidR="00E15A28" w:rsidRPr="00CE76B1" w:rsidRDefault="00E15A28" w:rsidP="00CE76B1">
      <w:pPr>
        <w:ind w:right="50"/>
        <w:jc w:val="both"/>
        <w:rPr>
          <w:sz w:val="24"/>
        </w:rPr>
      </w:pPr>
    </w:p>
    <w:p w14:paraId="3A6F86BA" w14:textId="0112225B" w:rsidR="00CE76B1" w:rsidRDefault="00CE76B1" w:rsidP="00CE76B1">
      <w:pPr>
        <w:ind w:right="50"/>
        <w:jc w:val="both"/>
        <w:rPr>
          <w:sz w:val="24"/>
        </w:rPr>
      </w:pPr>
      <w:r w:rsidRPr="00CE76B1">
        <w:rPr>
          <w:sz w:val="24"/>
        </w:rPr>
        <w:t>La reducción comenzará a regir a partir del primer día del mes siguiente a que se hagan efectivas las transferencias en forma diaria y automática de la masa de fondos.</w:t>
      </w:r>
    </w:p>
    <w:p w14:paraId="2FBCB3C2" w14:textId="77777777" w:rsidR="00241949" w:rsidRPr="00CE76B1" w:rsidRDefault="00241949" w:rsidP="00CE76B1">
      <w:pPr>
        <w:ind w:right="50"/>
        <w:jc w:val="both"/>
        <w:rPr>
          <w:sz w:val="24"/>
        </w:rPr>
      </w:pPr>
    </w:p>
    <w:p w14:paraId="0BFF284A" w14:textId="77777777" w:rsidR="00241949" w:rsidRDefault="00CE76B1" w:rsidP="00241949">
      <w:pPr>
        <w:ind w:right="50"/>
        <w:jc w:val="both"/>
        <w:rPr>
          <w:sz w:val="24"/>
        </w:rPr>
      </w:pPr>
      <w:r w:rsidRPr="00CE76B1">
        <w:rPr>
          <w:sz w:val="24"/>
        </w:rPr>
        <w:t>La reducción de la alícuota será proporcional a la masa de fondos coparticipables recuperados. A efectos de materializar la proporcionalidad, deben considerarse los siguientes parámetros:</w:t>
      </w:r>
    </w:p>
    <w:p w14:paraId="1DD02E26" w14:textId="77777777" w:rsidR="00241949" w:rsidRDefault="00241949" w:rsidP="00241949">
      <w:pPr>
        <w:ind w:right="50"/>
        <w:jc w:val="both"/>
        <w:rPr>
          <w:sz w:val="24"/>
        </w:rPr>
      </w:pPr>
    </w:p>
    <w:p w14:paraId="749CA89B" w14:textId="38FD4AC1" w:rsidR="00241949" w:rsidRDefault="00CE76B1" w:rsidP="00F7041C">
      <w:pPr>
        <w:pStyle w:val="Prrafodelista"/>
        <w:numPr>
          <w:ilvl w:val="0"/>
          <w:numId w:val="46"/>
        </w:numPr>
        <w:ind w:right="50"/>
        <w:jc w:val="both"/>
        <w:rPr>
          <w:sz w:val="24"/>
        </w:rPr>
      </w:pPr>
      <w:r w:rsidRPr="00241949">
        <w:rPr>
          <w:sz w:val="24"/>
        </w:rPr>
        <w:t xml:space="preserve">a un porcentaje de coparticipación del 2,95% de la masa de fondos coparticipables, corresponde una alícuota de </w:t>
      </w:r>
      <w:r w:rsidRPr="00241949">
        <w:rPr>
          <w:b/>
          <w:i/>
          <w:sz w:val="24"/>
        </w:rPr>
        <w:t>2,85%</w:t>
      </w:r>
      <w:r w:rsidRPr="00241949">
        <w:rPr>
          <w:sz w:val="24"/>
        </w:rPr>
        <w:t>;</w:t>
      </w:r>
    </w:p>
    <w:p w14:paraId="68299F1C" w14:textId="77777777" w:rsidR="00241949" w:rsidRDefault="00241949" w:rsidP="00241949">
      <w:pPr>
        <w:pStyle w:val="Prrafodelista"/>
        <w:ind w:left="720" w:right="50"/>
        <w:jc w:val="both"/>
        <w:rPr>
          <w:sz w:val="24"/>
        </w:rPr>
      </w:pPr>
    </w:p>
    <w:p w14:paraId="6390720C" w14:textId="43232B71" w:rsidR="00CE76B1" w:rsidRPr="00241949" w:rsidRDefault="00CE76B1" w:rsidP="00F7041C">
      <w:pPr>
        <w:pStyle w:val="Prrafodelista"/>
        <w:numPr>
          <w:ilvl w:val="0"/>
          <w:numId w:val="46"/>
        </w:numPr>
        <w:ind w:right="50"/>
        <w:jc w:val="both"/>
        <w:rPr>
          <w:sz w:val="24"/>
        </w:rPr>
      </w:pPr>
      <w:r w:rsidRPr="00241949">
        <w:rPr>
          <w:sz w:val="24"/>
        </w:rPr>
        <w:t xml:space="preserve">a un porcentaje de coparticipación del 3,5%, corresponde una alícuota de </w:t>
      </w:r>
      <w:r w:rsidRPr="00241949">
        <w:rPr>
          <w:b/>
          <w:i/>
          <w:sz w:val="24"/>
        </w:rPr>
        <w:t>0</w:t>
      </w:r>
      <w:r w:rsidR="00241949" w:rsidRPr="00241949">
        <w:rPr>
          <w:b/>
          <w:i/>
          <w:sz w:val="24"/>
        </w:rPr>
        <w:t>,00</w:t>
      </w:r>
      <w:r w:rsidRPr="00241949">
        <w:rPr>
          <w:b/>
          <w:i/>
          <w:sz w:val="24"/>
        </w:rPr>
        <w:t>%</w:t>
      </w:r>
      <w:r w:rsidRPr="00241949">
        <w:rPr>
          <w:sz w:val="24"/>
        </w:rPr>
        <w:t>.</w:t>
      </w:r>
    </w:p>
    <w:p w14:paraId="61304AEC" w14:textId="77777777" w:rsidR="00CE76B1" w:rsidRPr="00CE76B1" w:rsidRDefault="00CE76B1" w:rsidP="00CE76B1">
      <w:pPr>
        <w:ind w:right="50"/>
        <w:jc w:val="both"/>
        <w:rPr>
          <w:sz w:val="24"/>
        </w:rPr>
      </w:pPr>
    </w:p>
    <w:p w14:paraId="1A3FB689" w14:textId="77777777" w:rsidR="00102144" w:rsidRPr="00CE76B1" w:rsidRDefault="00102144" w:rsidP="00CE76B1">
      <w:pPr>
        <w:ind w:right="50"/>
        <w:jc w:val="both"/>
        <w:rPr>
          <w:sz w:val="24"/>
        </w:rPr>
      </w:pPr>
      <w:bookmarkStart w:id="2" w:name="ART_6"/>
      <w:bookmarkEnd w:id="2"/>
    </w:p>
    <w:p w14:paraId="26E05E01" w14:textId="6817CA1A" w:rsidR="00102144" w:rsidRPr="00671B1D" w:rsidRDefault="00B221E3" w:rsidP="00102144">
      <w:pPr>
        <w:pStyle w:val="Prrafodelista"/>
        <w:widowControl/>
        <w:numPr>
          <w:ilvl w:val="0"/>
          <w:numId w:val="37"/>
        </w:numPr>
        <w:jc w:val="both"/>
        <w:rPr>
          <w:b/>
          <w:sz w:val="24"/>
          <w:szCs w:val="24"/>
          <w:u w:val="single"/>
        </w:rPr>
      </w:pPr>
      <w:r>
        <w:rPr>
          <w:b/>
          <w:sz w:val="24"/>
          <w:szCs w:val="24"/>
          <w:u w:val="single"/>
        </w:rPr>
        <w:t>D</w:t>
      </w:r>
      <w:r w:rsidR="00EF50D8">
        <w:rPr>
          <w:b/>
          <w:sz w:val="24"/>
          <w:szCs w:val="24"/>
          <w:u w:val="single"/>
        </w:rPr>
        <w:t>evolución</w:t>
      </w:r>
    </w:p>
    <w:p w14:paraId="5533AEF5" w14:textId="77777777" w:rsidR="00D35648" w:rsidRDefault="00D35648" w:rsidP="00CE76B1">
      <w:pPr>
        <w:ind w:right="50"/>
        <w:jc w:val="both"/>
        <w:rPr>
          <w:sz w:val="24"/>
        </w:rPr>
      </w:pPr>
    </w:p>
    <w:p w14:paraId="4830D304" w14:textId="3746535C" w:rsidR="00EF50D8" w:rsidRDefault="00EF50D8" w:rsidP="00EF50D8">
      <w:pPr>
        <w:ind w:right="50"/>
        <w:jc w:val="both"/>
        <w:rPr>
          <w:sz w:val="24"/>
        </w:rPr>
      </w:pPr>
      <w:r w:rsidRPr="00CE76B1">
        <w:rPr>
          <w:sz w:val="24"/>
        </w:rPr>
        <w:t xml:space="preserve">Se </w:t>
      </w:r>
      <w:r>
        <w:rPr>
          <w:sz w:val="24"/>
        </w:rPr>
        <w:t>les devolverá</w:t>
      </w:r>
      <w:r w:rsidRPr="00CE76B1">
        <w:rPr>
          <w:sz w:val="24"/>
        </w:rPr>
        <w:t xml:space="preserve"> a los contribuyentes y/o responsables alcanzados por el impuesto sobre los ingresos brutos respecto de las operaciones mencionadas</w:t>
      </w:r>
      <w:r>
        <w:rPr>
          <w:sz w:val="24"/>
        </w:rPr>
        <w:t xml:space="preserve"> en este punto</w:t>
      </w:r>
      <w:r w:rsidRPr="00CE76B1">
        <w:rPr>
          <w:sz w:val="24"/>
        </w:rPr>
        <w:t>, el monto proporcional de lo recaudado por los hechos imponibles generados por estos conceptos desde el 1° de enero de 2023 hasta el momento en que ocurra alguna de las siguientes situaciones:</w:t>
      </w:r>
    </w:p>
    <w:p w14:paraId="1FF8CAF0" w14:textId="77777777" w:rsidR="00241949" w:rsidRPr="00CE76B1" w:rsidRDefault="00241949" w:rsidP="00EF50D8">
      <w:pPr>
        <w:ind w:right="50"/>
        <w:jc w:val="both"/>
        <w:rPr>
          <w:sz w:val="24"/>
        </w:rPr>
      </w:pPr>
    </w:p>
    <w:p w14:paraId="5A8E7294" w14:textId="25CE80D1" w:rsidR="00241949" w:rsidRDefault="00EF50D8" w:rsidP="00FF42B1">
      <w:pPr>
        <w:pStyle w:val="Prrafodelista"/>
        <w:numPr>
          <w:ilvl w:val="0"/>
          <w:numId w:val="47"/>
        </w:numPr>
        <w:ind w:right="50"/>
        <w:jc w:val="both"/>
        <w:rPr>
          <w:sz w:val="24"/>
        </w:rPr>
      </w:pPr>
      <w:r w:rsidRPr="00241949">
        <w:rPr>
          <w:sz w:val="24"/>
        </w:rPr>
        <w:t>La Corte Suprema de Justicia de la Nación declare la inconstitucionalidad del Decreto PEN N.º 735/2020 y/o de la Ley Nacional N.º 27.606 y se reestablezca el porcentaje de coparticipación previsto en el Decreto PEN N.º 257/2018 en el marco del expediente N.º 1865/2020 caratulado "Gobierno de la Ciudad de Buenos Aires c/ Estado Nacional s/ acción declarativa de inconstitucionalidad - cobro de pesos";</w:t>
      </w:r>
    </w:p>
    <w:p w14:paraId="7E309EB9" w14:textId="77777777" w:rsidR="00241949" w:rsidRDefault="00241949" w:rsidP="00241949">
      <w:pPr>
        <w:pStyle w:val="Prrafodelista"/>
        <w:ind w:left="720" w:right="50"/>
        <w:jc w:val="both"/>
        <w:rPr>
          <w:sz w:val="24"/>
        </w:rPr>
      </w:pPr>
    </w:p>
    <w:p w14:paraId="7A4837DC" w14:textId="77777777" w:rsidR="00241949" w:rsidRDefault="00EF50D8" w:rsidP="00FF42B1">
      <w:pPr>
        <w:pStyle w:val="Prrafodelista"/>
        <w:numPr>
          <w:ilvl w:val="0"/>
          <w:numId w:val="47"/>
        </w:numPr>
        <w:ind w:right="50"/>
        <w:jc w:val="both"/>
        <w:rPr>
          <w:sz w:val="24"/>
        </w:rPr>
      </w:pPr>
      <w:r w:rsidRPr="00241949">
        <w:rPr>
          <w:sz w:val="24"/>
        </w:rPr>
        <w:t>Se derogue el Decreto PEN N.º 735/2020 y/o la Ley Nacional N.º 27.606 y se reestablezca el porcentaje de coparticipación previsto en el Decreto PEN N.</w:t>
      </w:r>
      <w:r w:rsidR="00241949">
        <w:rPr>
          <w:sz w:val="24"/>
        </w:rPr>
        <w:t>º 257/2018;</w:t>
      </w:r>
    </w:p>
    <w:p w14:paraId="3F93F9DE" w14:textId="77777777" w:rsidR="00241949" w:rsidRPr="00241949" w:rsidRDefault="00241949" w:rsidP="00241949">
      <w:pPr>
        <w:pStyle w:val="Prrafodelista"/>
        <w:rPr>
          <w:sz w:val="24"/>
        </w:rPr>
      </w:pPr>
    </w:p>
    <w:p w14:paraId="15857CC8" w14:textId="4EDC7383" w:rsidR="00EF50D8" w:rsidRPr="00241949" w:rsidRDefault="00EF50D8" w:rsidP="00FF42B1">
      <w:pPr>
        <w:pStyle w:val="Prrafodelista"/>
        <w:numPr>
          <w:ilvl w:val="0"/>
          <w:numId w:val="47"/>
        </w:numPr>
        <w:ind w:right="50"/>
        <w:jc w:val="both"/>
        <w:rPr>
          <w:sz w:val="24"/>
        </w:rPr>
      </w:pPr>
      <w:r w:rsidRPr="00241949">
        <w:rPr>
          <w:sz w:val="24"/>
        </w:rPr>
        <w:t>El Gobierno de la Ciudad Autónoma de Buenos Aires y el Estado Nacional acuerden un nuevo porcentaje de coparticipación sobre el monto recaudado de acuerdo con el artículo 2° de la Ley Nacional N.º 23.548 y sus modificaciones.</w:t>
      </w:r>
    </w:p>
    <w:p w14:paraId="3D10CD43" w14:textId="77777777" w:rsidR="00EF50D8" w:rsidRPr="00CE76B1" w:rsidRDefault="00EF50D8" w:rsidP="00EF50D8">
      <w:pPr>
        <w:ind w:right="50"/>
        <w:jc w:val="both"/>
        <w:rPr>
          <w:sz w:val="24"/>
        </w:rPr>
      </w:pPr>
    </w:p>
    <w:p w14:paraId="489F5D8E" w14:textId="7421972D" w:rsidR="00EF50D8" w:rsidRDefault="00EF50D8" w:rsidP="00EF50D8">
      <w:pPr>
        <w:ind w:right="50"/>
        <w:jc w:val="both"/>
        <w:rPr>
          <w:sz w:val="24"/>
        </w:rPr>
      </w:pPr>
      <w:r w:rsidRPr="00CE76B1">
        <w:rPr>
          <w:sz w:val="24"/>
        </w:rPr>
        <w:lastRenderedPageBreak/>
        <w:t>La proporción se determinará en función del monto que se recupere de la masa de fondos coparticipables devengados y no cobrados. En caso de recuperar el 100% de estos fondos - conforme a la medida cautelar dictada - se devolverá el 84,29% de lo recaudado.</w:t>
      </w:r>
    </w:p>
    <w:p w14:paraId="47B18A44" w14:textId="77777777" w:rsidR="00241949" w:rsidRPr="00CE76B1" w:rsidRDefault="00241949" w:rsidP="00EF50D8">
      <w:pPr>
        <w:ind w:right="50"/>
        <w:jc w:val="both"/>
        <w:rPr>
          <w:sz w:val="24"/>
        </w:rPr>
      </w:pPr>
    </w:p>
    <w:p w14:paraId="24D4DEBD" w14:textId="77777777" w:rsidR="00EF50D8" w:rsidRDefault="00EF50D8" w:rsidP="00EF50D8">
      <w:pPr>
        <w:ind w:right="50"/>
        <w:jc w:val="both"/>
        <w:rPr>
          <w:sz w:val="24"/>
        </w:rPr>
      </w:pPr>
      <w:r w:rsidRPr="00CE76B1">
        <w:rPr>
          <w:sz w:val="24"/>
        </w:rPr>
        <w:t>A fin de determinar la devolución a cada contribuyente, esta no podrá exceder, para cada caso, la resultante de la diferencia de aplicar sobre la base imponible la alícuota efectivamente pagada y la que se defina conforme el artículo anterior.</w:t>
      </w:r>
    </w:p>
    <w:p w14:paraId="373004B1" w14:textId="77777777" w:rsidR="00EF50D8" w:rsidRDefault="00EF50D8" w:rsidP="00CE76B1">
      <w:pPr>
        <w:ind w:right="50"/>
        <w:jc w:val="both"/>
        <w:rPr>
          <w:sz w:val="24"/>
        </w:rPr>
      </w:pPr>
    </w:p>
    <w:p w14:paraId="408EDB37" w14:textId="67697ED5" w:rsidR="00CE76B1" w:rsidRDefault="00CE76B1" w:rsidP="00CE76B1">
      <w:pPr>
        <w:ind w:right="50"/>
        <w:jc w:val="both"/>
        <w:rPr>
          <w:sz w:val="24"/>
        </w:rPr>
      </w:pPr>
      <w:r w:rsidRPr="00CE76B1">
        <w:rPr>
          <w:sz w:val="24"/>
        </w:rPr>
        <w:t>El Ministerio de Hacienda y Finanzas del Gobierno de la Ciudad Autónoma de Buenos Aires, establecerá la forma y plazos de pago, así como la proporción de la devolución de modo de no afectar la sustentabilidad de las finanzas de la Ciudad Autónoma de Buenos Aires. El reintegro de los fondos podrá efectuarse en la misma especie en que sean restituidos por el Estado Nacional.</w:t>
      </w:r>
    </w:p>
    <w:p w14:paraId="27F71118" w14:textId="77777777" w:rsidR="00CE76B1" w:rsidRPr="00CE76B1" w:rsidRDefault="00CE76B1" w:rsidP="00CE76B1">
      <w:pPr>
        <w:ind w:right="50"/>
        <w:jc w:val="both"/>
        <w:rPr>
          <w:sz w:val="24"/>
        </w:rPr>
      </w:pPr>
    </w:p>
    <w:p w14:paraId="437C9B81" w14:textId="502D92E7" w:rsidR="00CE76B1" w:rsidRDefault="00CE76B1" w:rsidP="00CE76B1">
      <w:pPr>
        <w:ind w:right="50"/>
        <w:jc w:val="both"/>
        <w:rPr>
          <w:sz w:val="24"/>
        </w:rPr>
      </w:pPr>
      <w:r w:rsidRPr="00CE76B1">
        <w:rPr>
          <w:sz w:val="24"/>
        </w:rPr>
        <w:t xml:space="preserve">La </w:t>
      </w:r>
      <w:r w:rsidR="004B043D">
        <w:rPr>
          <w:sz w:val="24"/>
        </w:rPr>
        <w:t>AGIP</w:t>
      </w:r>
      <w:r w:rsidRPr="00CE76B1">
        <w:rPr>
          <w:sz w:val="24"/>
        </w:rPr>
        <w:t xml:space="preserve"> establecerá el mecanismo de información necesario para que los contribuyentes y/o responsables acrediten fehacientemente los montos abonados en el periodo en cuestión.</w:t>
      </w:r>
    </w:p>
    <w:p w14:paraId="5871640B" w14:textId="77777777" w:rsidR="00CE76B1" w:rsidRPr="00CE76B1" w:rsidRDefault="00CE76B1" w:rsidP="00CE76B1">
      <w:pPr>
        <w:ind w:right="50"/>
        <w:jc w:val="both"/>
        <w:rPr>
          <w:sz w:val="24"/>
        </w:rPr>
      </w:pPr>
    </w:p>
    <w:p w14:paraId="1E668B7E" w14:textId="07E2666A" w:rsidR="00CE76B1" w:rsidRDefault="00CE76B1" w:rsidP="00CE76B1">
      <w:pPr>
        <w:ind w:right="50"/>
        <w:jc w:val="both"/>
        <w:rPr>
          <w:sz w:val="24"/>
        </w:rPr>
      </w:pPr>
      <w:r w:rsidRPr="00CE76B1">
        <w:rPr>
          <w:sz w:val="24"/>
        </w:rPr>
        <w:t xml:space="preserve">Los actos administrativos que determinen la </w:t>
      </w:r>
      <w:r w:rsidR="000B438E">
        <w:rPr>
          <w:sz w:val="24"/>
        </w:rPr>
        <w:t xml:space="preserve">reducción de </w:t>
      </w:r>
      <w:r w:rsidRPr="00CE76B1">
        <w:rPr>
          <w:sz w:val="24"/>
        </w:rPr>
        <w:t>alícuota a aplicar, así como el de la devolución</w:t>
      </w:r>
      <w:r w:rsidR="000B438E">
        <w:rPr>
          <w:sz w:val="24"/>
        </w:rPr>
        <w:t xml:space="preserve">, </w:t>
      </w:r>
      <w:r w:rsidRPr="00CE76B1">
        <w:rPr>
          <w:sz w:val="24"/>
        </w:rPr>
        <w:t>deberá consignar el procedimiento de cálculo realizado para alcanzar cada resultado.</w:t>
      </w:r>
    </w:p>
    <w:p w14:paraId="5B209F29" w14:textId="77777777" w:rsidR="00CE76B1" w:rsidRPr="00CE76B1" w:rsidRDefault="00CE76B1" w:rsidP="00CE76B1">
      <w:pPr>
        <w:ind w:right="50"/>
        <w:jc w:val="both"/>
        <w:rPr>
          <w:sz w:val="24"/>
        </w:rPr>
      </w:pPr>
    </w:p>
    <w:p w14:paraId="5F021C44" w14:textId="0B3FCC3D" w:rsidR="00CE76B1" w:rsidRDefault="00CE76B1" w:rsidP="00CE76B1">
      <w:pPr>
        <w:ind w:right="50"/>
        <w:jc w:val="both"/>
        <w:rPr>
          <w:sz w:val="24"/>
        </w:rPr>
      </w:pPr>
      <w:r w:rsidRPr="00CE76B1">
        <w:rPr>
          <w:sz w:val="24"/>
        </w:rPr>
        <w:t xml:space="preserve">Si recayera sentencia denegatoria en el proceso judicial </w:t>
      </w:r>
      <w:r w:rsidR="00401007" w:rsidRPr="00CE76B1">
        <w:rPr>
          <w:sz w:val="24"/>
        </w:rPr>
        <w:t>N</w:t>
      </w:r>
      <w:r w:rsidR="00401007">
        <w:rPr>
          <w:sz w:val="24"/>
        </w:rPr>
        <w:t>.</w:t>
      </w:r>
      <w:r w:rsidR="00401007" w:rsidRPr="00CE76B1">
        <w:rPr>
          <w:sz w:val="24"/>
        </w:rPr>
        <w:t>º</w:t>
      </w:r>
      <w:r w:rsidRPr="00CE76B1">
        <w:rPr>
          <w:sz w:val="24"/>
        </w:rPr>
        <w:t xml:space="preserve"> 1865/2020 "Gobierno de la Ciudad de Buenos Aires c/ Estado Nacional s/ acción declarativa de inconstitucionalidad - cobro de pesos" en trámite ante la Corte Suprema de Justicia de</w:t>
      </w:r>
      <w:r w:rsidR="0028194D">
        <w:rPr>
          <w:sz w:val="24"/>
        </w:rPr>
        <w:t>l</w:t>
      </w:r>
      <w:r w:rsidRPr="00CE76B1">
        <w:rPr>
          <w:sz w:val="24"/>
        </w:rPr>
        <w:t xml:space="preserve"> beneficio</w:t>
      </w:r>
      <w:r w:rsidR="0036372A">
        <w:rPr>
          <w:sz w:val="24"/>
        </w:rPr>
        <w:t xml:space="preserve"> otorgado respecto a la</w:t>
      </w:r>
      <w:r w:rsidR="0028194D">
        <w:rPr>
          <w:sz w:val="24"/>
        </w:rPr>
        <w:t xml:space="preserve"> reducción de alícuotas</w:t>
      </w:r>
      <w:r w:rsidRPr="00CE76B1">
        <w:rPr>
          <w:sz w:val="24"/>
        </w:rPr>
        <w:t>, caducarán de pleno derecho ante la adquisición de autoridad de cosa juzgada de dicho acto jurisdiccional.</w:t>
      </w:r>
    </w:p>
    <w:p w14:paraId="73AF958B" w14:textId="77777777" w:rsidR="00227D10" w:rsidRPr="00CE76B1" w:rsidRDefault="00227D10" w:rsidP="00CE76B1">
      <w:pPr>
        <w:ind w:right="50"/>
        <w:jc w:val="both"/>
        <w:rPr>
          <w:sz w:val="24"/>
        </w:rPr>
      </w:pPr>
    </w:p>
    <w:p w14:paraId="374BF772" w14:textId="77777777" w:rsidR="000C7B3C" w:rsidRDefault="000C7B3C" w:rsidP="00F37775">
      <w:pPr>
        <w:ind w:right="50"/>
        <w:jc w:val="both"/>
        <w:rPr>
          <w:sz w:val="24"/>
        </w:rPr>
      </w:pPr>
    </w:p>
    <w:p w14:paraId="7860A59B" w14:textId="77777777" w:rsidR="000C7B3C" w:rsidRPr="00671B1D" w:rsidRDefault="000C7B3C" w:rsidP="00451462">
      <w:pPr>
        <w:ind w:left="426" w:right="50"/>
        <w:jc w:val="both"/>
        <w:rPr>
          <w:sz w:val="24"/>
        </w:rPr>
      </w:pPr>
    </w:p>
    <w:p w14:paraId="2EBE194E" w14:textId="77777777" w:rsidR="00B243FE" w:rsidRPr="00671B1D" w:rsidRDefault="00862B97" w:rsidP="00A61326">
      <w:pPr>
        <w:pStyle w:val="Prrafodelista"/>
        <w:widowControl/>
        <w:numPr>
          <w:ilvl w:val="0"/>
          <w:numId w:val="37"/>
        </w:numPr>
        <w:jc w:val="both"/>
        <w:rPr>
          <w:b/>
          <w:sz w:val="24"/>
          <w:szCs w:val="24"/>
          <w:u w:val="single"/>
        </w:rPr>
      </w:pPr>
      <w:r w:rsidRPr="00671B1D">
        <w:rPr>
          <w:b/>
          <w:sz w:val="24"/>
          <w:szCs w:val="24"/>
          <w:u w:val="single"/>
        </w:rPr>
        <w:t>Vigencia</w:t>
      </w:r>
    </w:p>
    <w:p w14:paraId="4DDD91B0" w14:textId="77777777" w:rsidR="00B243FE" w:rsidRPr="00671B1D" w:rsidRDefault="00B243FE" w:rsidP="003C3F0D">
      <w:pPr>
        <w:jc w:val="both"/>
        <w:rPr>
          <w:sz w:val="24"/>
          <w:szCs w:val="24"/>
        </w:rPr>
      </w:pPr>
    </w:p>
    <w:p w14:paraId="482AEA4C" w14:textId="2503D401" w:rsidR="00C81CC2" w:rsidRPr="00671B1D" w:rsidRDefault="00135B69" w:rsidP="00C81CC2">
      <w:pPr>
        <w:jc w:val="both"/>
        <w:rPr>
          <w:b/>
          <w:i/>
          <w:sz w:val="24"/>
          <w:szCs w:val="24"/>
        </w:rPr>
      </w:pPr>
      <w:r w:rsidRPr="00D4585F">
        <w:rPr>
          <w:sz w:val="24"/>
        </w:rPr>
        <w:t>Las disposiciones de la presente ley tienen aplicación</w:t>
      </w:r>
      <w:r w:rsidR="000D3667">
        <w:rPr>
          <w:sz w:val="24"/>
        </w:rPr>
        <w:t xml:space="preserve"> para l</w:t>
      </w:r>
      <w:r w:rsidR="00DC3472">
        <w:rPr>
          <w:sz w:val="24"/>
        </w:rPr>
        <w:t xml:space="preserve">as modificaciones a los artículos </w:t>
      </w:r>
      <w:r w:rsidR="000D3667" w:rsidRPr="00CE76B1">
        <w:rPr>
          <w:sz w:val="24"/>
        </w:rPr>
        <w:t xml:space="preserve">1°, 2°, 3° y 4° </w:t>
      </w:r>
      <w:r w:rsidR="000C7B3C">
        <w:rPr>
          <w:b/>
          <w:i/>
          <w:sz w:val="24"/>
        </w:rPr>
        <w:t xml:space="preserve">a partir del </w:t>
      </w:r>
      <w:r w:rsidR="00327FF5">
        <w:rPr>
          <w:b/>
          <w:i/>
          <w:sz w:val="24"/>
        </w:rPr>
        <w:t>1</w:t>
      </w:r>
      <w:r w:rsidR="000C7B3C">
        <w:rPr>
          <w:b/>
          <w:i/>
          <w:sz w:val="24"/>
        </w:rPr>
        <w:t xml:space="preserve"> de </w:t>
      </w:r>
      <w:r w:rsidR="00146B3A">
        <w:rPr>
          <w:b/>
          <w:i/>
          <w:sz w:val="24"/>
        </w:rPr>
        <w:t>Ju</w:t>
      </w:r>
      <w:r w:rsidR="00327FF5">
        <w:rPr>
          <w:b/>
          <w:i/>
          <w:sz w:val="24"/>
        </w:rPr>
        <w:t>l</w:t>
      </w:r>
      <w:r w:rsidR="00146B3A">
        <w:rPr>
          <w:b/>
          <w:i/>
          <w:sz w:val="24"/>
        </w:rPr>
        <w:t>io</w:t>
      </w:r>
      <w:r w:rsidR="000C7B3C">
        <w:rPr>
          <w:b/>
          <w:i/>
          <w:sz w:val="24"/>
        </w:rPr>
        <w:t xml:space="preserve"> de 202</w:t>
      </w:r>
      <w:r w:rsidR="00C62F50">
        <w:rPr>
          <w:b/>
          <w:i/>
          <w:sz w:val="24"/>
        </w:rPr>
        <w:t>3</w:t>
      </w:r>
      <w:r w:rsidRPr="00D4585F">
        <w:rPr>
          <w:b/>
          <w:i/>
          <w:sz w:val="24"/>
        </w:rPr>
        <w:t>, inclusive</w:t>
      </w:r>
      <w:r w:rsidR="000D3667">
        <w:rPr>
          <w:sz w:val="24"/>
        </w:rPr>
        <w:t xml:space="preserve">, y para el resto </w:t>
      </w:r>
      <w:r w:rsidR="000D3667" w:rsidRPr="00F6501E">
        <w:rPr>
          <w:b/>
          <w:i/>
          <w:sz w:val="24"/>
        </w:rPr>
        <w:t xml:space="preserve">a partir del </w:t>
      </w:r>
      <w:r w:rsidR="00F6501E" w:rsidRPr="00F6501E">
        <w:rPr>
          <w:b/>
          <w:i/>
          <w:sz w:val="24"/>
        </w:rPr>
        <w:t>9 de Julio de 2023, inclusive</w:t>
      </w:r>
      <w:r w:rsidR="00F6501E">
        <w:rPr>
          <w:sz w:val="24"/>
        </w:rPr>
        <w:t>.</w:t>
      </w:r>
    </w:p>
    <w:p w14:paraId="316B4BE3" w14:textId="77777777" w:rsidR="006E0EC6" w:rsidRPr="00671B1D" w:rsidRDefault="006E0EC6" w:rsidP="003C3F0D">
      <w:pPr>
        <w:jc w:val="both"/>
        <w:rPr>
          <w:b/>
          <w:i/>
          <w:sz w:val="24"/>
          <w:szCs w:val="24"/>
        </w:rPr>
      </w:pPr>
    </w:p>
    <w:p w14:paraId="7C4B1AFA" w14:textId="77777777" w:rsidR="00A61326" w:rsidRDefault="00A61326" w:rsidP="003C3F0D">
      <w:pPr>
        <w:jc w:val="both"/>
        <w:rPr>
          <w:b/>
          <w:i/>
          <w:sz w:val="24"/>
          <w:szCs w:val="24"/>
        </w:rPr>
      </w:pPr>
    </w:p>
    <w:p w14:paraId="6856EF04" w14:textId="77777777" w:rsidR="00AC3EF6" w:rsidRDefault="00AC3EF6" w:rsidP="003C3F0D">
      <w:pPr>
        <w:jc w:val="both"/>
        <w:rPr>
          <w:b/>
          <w:i/>
          <w:sz w:val="24"/>
          <w:szCs w:val="24"/>
        </w:rPr>
      </w:pPr>
    </w:p>
    <w:p w14:paraId="6A1C5294" w14:textId="77777777" w:rsidR="00AC3EF6" w:rsidRDefault="00AC3EF6" w:rsidP="003C3F0D">
      <w:pPr>
        <w:jc w:val="both"/>
        <w:rPr>
          <w:b/>
          <w:i/>
          <w:sz w:val="24"/>
          <w:szCs w:val="24"/>
        </w:rPr>
      </w:pPr>
    </w:p>
    <w:p w14:paraId="5B98E7B5" w14:textId="77777777" w:rsidR="00AC3EF6" w:rsidRPr="00671B1D" w:rsidRDefault="00AC3EF6" w:rsidP="003C3F0D">
      <w:pPr>
        <w:jc w:val="both"/>
        <w:rPr>
          <w:b/>
          <w:i/>
          <w:sz w:val="24"/>
          <w:szCs w:val="24"/>
        </w:rPr>
      </w:pPr>
    </w:p>
    <w:p w14:paraId="13FDF2D5" w14:textId="48FD4753" w:rsidR="00EB3E70" w:rsidRPr="00671B1D" w:rsidRDefault="004F08CC" w:rsidP="003C3F0D">
      <w:pPr>
        <w:jc w:val="both"/>
        <w:rPr>
          <w:sz w:val="24"/>
          <w:szCs w:val="24"/>
        </w:rPr>
      </w:pPr>
      <w:r w:rsidRPr="00671B1D">
        <w:rPr>
          <w:sz w:val="24"/>
          <w:szCs w:val="24"/>
        </w:rPr>
        <w:t xml:space="preserve">Buenos Aires, </w:t>
      </w:r>
      <w:r w:rsidR="00233F79">
        <w:rPr>
          <w:sz w:val="24"/>
          <w:szCs w:val="24"/>
        </w:rPr>
        <w:t>1</w:t>
      </w:r>
      <w:r w:rsidR="00316D58">
        <w:rPr>
          <w:sz w:val="24"/>
          <w:szCs w:val="24"/>
        </w:rPr>
        <w:t>9</w:t>
      </w:r>
      <w:r w:rsidR="00936507" w:rsidRPr="00671B1D">
        <w:rPr>
          <w:sz w:val="24"/>
          <w:szCs w:val="24"/>
        </w:rPr>
        <w:t xml:space="preserve"> de </w:t>
      </w:r>
      <w:proofErr w:type="gramStart"/>
      <w:r w:rsidR="00233F79">
        <w:rPr>
          <w:sz w:val="24"/>
          <w:szCs w:val="24"/>
        </w:rPr>
        <w:t>Septiembre</w:t>
      </w:r>
      <w:proofErr w:type="gramEnd"/>
      <w:r w:rsidR="006455B3" w:rsidRPr="00671B1D">
        <w:rPr>
          <w:sz w:val="24"/>
          <w:szCs w:val="24"/>
        </w:rPr>
        <w:t xml:space="preserve"> de 20</w:t>
      </w:r>
      <w:r w:rsidR="000C7B3C">
        <w:rPr>
          <w:sz w:val="24"/>
          <w:szCs w:val="24"/>
        </w:rPr>
        <w:t>2</w:t>
      </w:r>
      <w:r w:rsidR="00C62F50">
        <w:rPr>
          <w:sz w:val="24"/>
          <w:szCs w:val="24"/>
        </w:rPr>
        <w:t>3</w:t>
      </w:r>
      <w:r w:rsidR="00CA078D" w:rsidRPr="00671B1D">
        <w:rPr>
          <w:sz w:val="24"/>
          <w:szCs w:val="24"/>
        </w:rPr>
        <w:t>.</w:t>
      </w:r>
    </w:p>
    <w:p w14:paraId="10599452" w14:textId="77777777" w:rsidR="001C6303" w:rsidRDefault="001C6303" w:rsidP="00260C9D"/>
    <w:p w14:paraId="579BD771" w14:textId="77777777" w:rsidR="000C7B3C" w:rsidRDefault="000C7B3C" w:rsidP="00260C9D"/>
    <w:p w14:paraId="595279AA" w14:textId="77777777" w:rsidR="00144574" w:rsidRPr="00671B1D" w:rsidRDefault="00144574" w:rsidP="00233F79">
      <w:pPr>
        <w:rPr>
          <w:b/>
          <w:sz w:val="24"/>
          <w:szCs w:val="24"/>
          <w:u w:val="single"/>
        </w:rPr>
      </w:pPr>
    </w:p>
    <w:sectPr w:rsidR="00144574" w:rsidRPr="00671B1D" w:rsidSect="004A344C">
      <w:headerReference w:type="default" r:id="rId8"/>
      <w:pgSz w:w="11907" w:h="16840" w:code="9"/>
      <w:pgMar w:top="1134"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38D" w14:textId="77777777" w:rsidR="00591E52" w:rsidRDefault="00591E52">
      <w:r>
        <w:separator/>
      </w:r>
    </w:p>
  </w:endnote>
  <w:endnote w:type="continuationSeparator" w:id="0">
    <w:p w14:paraId="209AAC13" w14:textId="77777777" w:rsidR="00591E52" w:rsidRDefault="0059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CD132" w14:textId="77777777" w:rsidR="00591E52" w:rsidRDefault="00591E52">
      <w:r>
        <w:separator/>
      </w:r>
    </w:p>
  </w:footnote>
  <w:footnote w:type="continuationSeparator" w:id="0">
    <w:p w14:paraId="343235A5" w14:textId="77777777" w:rsidR="00591E52" w:rsidRDefault="00591E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53CF" w14:textId="77777777" w:rsidR="00591E52" w:rsidRDefault="00591E52">
    <w:pPr>
      <w:pStyle w:val="Encabezado"/>
      <w:pBdr>
        <w:bottom w:val="single" w:sz="12" w:space="1" w:color="000080"/>
      </w:pBdr>
      <w:jc w:val="right"/>
      <w:rPr>
        <w:b/>
        <w:color w:val="000080"/>
      </w:rPr>
    </w:pPr>
  </w:p>
  <w:p w14:paraId="653E0822" w14:textId="77777777" w:rsidR="00591E52" w:rsidRDefault="00591E52">
    <w:pPr>
      <w:pStyle w:val="Encabezado"/>
      <w:pBdr>
        <w:bottom w:val="single" w:sz="12" w:space="1" w:color="000080"/>
      </w:pBdr>
      <w:jc w:val="right"/>
      <w:rPr>
        <w:b/>
        <w:color w:val="000080"/>
      </w:rPr>
    </w:pPr>
  </w:p>
  <w:p w14:paraId="17CAFBB0" w14:textId="77777777" w:rsidR="00591E52" w:rsidRDefault="00591E52" w:rsidP="002E5655">
    <w:pPr>
      <w:pStyle w:val="Encabezado"/>
      <w:pBdr>
        <w:bottom w:val="single" w:sz="12" w:space="1" w:color="000080"/>
      </w:pBdr>
      <w:jc w:val="right"/>
      <w:rPr>
        <w:b/>
        <w:color w:val="000080"/>
      </w:rPr>
    </w:pPr>
    <w:r>
      <w:rPr>
        <w:b/>
        <w:color w:val="000080"/>
      </w:rPr>
      <w:t>FABETTI, BERTANI &amp; ASOC.</w:t>
    </w:r>
  </w:p>
  <w:p w14:paraId="612641AA" w14:textId="77777777" w:rsidR="00591E52" w:rsidRDefault="00591E52">
    <w:pPr>
      <w:pStyle w:val="Encabezado"/>
    </w:pPr>
  </w:p>
  <w:p w14:paraId="13B1EF7A" w14:textId="77777777" w:rsidR="00591E52" w:rsidRDefault="00591E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15:restartNumberingAfterBreak="0">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6" w15:restartNumberingAfterBreak="0">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5" w15:restartNumberingAfterBreak="0">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15:restartNumberingAfterBreak="0">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284C1C03"/>
    <w:multiLevelType w:val="hybridMultilevel"/>
    <w:tmpl w:val="861C535E"/>
    <w:lvl w:ilvl="0" w:tplc="5ADE4A26">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9" w15:restartNumberingAfterBreak="0">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2" w15:restartNumberingAfterBreak="0">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3" w15:restartNumberingAfterBreak="0">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3C34C1"/>
    <w:multiLevelType w:val="hybridMultilevel"/>
    <w:tmpl w:val="24FAE5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6" w15:restartNumberingAfterBreak="0">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8" w15:restartNumberingAfterBreak="0">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9" w15:restartNumberingAfterBreak="0">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31" w15:restartNumberingAfterBreak="0">
    <w:nsid w:val="4542446E"/>
    <w:multiLevelType w:val="hybridMultilevel"/>
    <w:tmpl w:val="BF9E871A"/>
    <w:lvl w:ilvl="0" w:tplc="9FD67EFA">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52A84459"/>
    <w:multiLevelType w:val="hybridMultilevel"/>
    <w:tmpl w:val="114863DE"/>
    <w:lvl w:ilvl="0" w:tplc="5ADE4A2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7" w15:restartNumberingAfterBreak="0">
    <w:nsid w:val="592F2A37"/>
    <w:multiLevelType w:val="hybridMultilevel"/>
    <w:tmpl w:val="7DE2C9D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5AC90D96"/>
    <w:multiLevelType w:val="hybridMultilevel"/>
    <w:tmpl w:val="B9407A5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C37B8D"/>
    <w:multiLevelType w:val="hybridMultilevel"/>
    <w:tmpl w:val="3CCCAEFE"/>
    <w:lvl w:ilvl="0" w:tplc="8A4ABCE8">
      <w:start w:val="2"/>
      <w:numFmt w:val="bullet"/>
      <w:lvlText w:val="-"/>
      <w:lvlJc w:val="left"/>
      <w:pPr>
        <w:ind w:left="720" w:hanging="360"/>
      </w:pPr>
      <w:rPr>
        <w:rFonts w:ascii="Times New Roman" w:eastAsia="Times New Roman" w:hAnsi="Times New Roman" w:cs="Times New Roman"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5"/>
  </w:num>
  <w:num w:numId="2">
    <w:abstractNumId w:val="1"/>
  </w:num>
  <w:num w:numId="3">
    <w:abstractNumId w:val="23"/>
  </w:num>
  <w:num w:numId="4">
    <w:abstractNumId w:val="32"/>
  </w:num>
  <w:num w:numId="5">
    <w:abstractNumId w:val="3"/>
  </w:num>
  <w:num w:numId="6">
    <w:abstractNumId w:val="15"/>
  </w:num>
  <w:num w:numId="7">
    <w:abstractNumId w:val="40"/>
  </w:num>
  <w:num w:numId="8">
    <w:abstractNumId w:val="4"/>
  </w:num>
  <w:num w:numId="9">
    <w:abstractNumId w:val="12"/>
  </w:num>
  <w:num w:numId="10">
    <w:abstractNumId w:val="19"/>
  </w:num>
  <w:num w:numId="11">
    <w:abstractNumId w:val="13"/>
  </w:num>
  <w:num w:numId="12">
    <w:abstractNumId w:val="20"/>
  </w:num>
  <w:num w:numId="13">
    <w:abstractNumId w:val="42"/>
  </w:num>
  <w:num w:numId="14">
    <w:abstractNumId w:val="26"/>
  </w:num>
  <w:num w:numId="15">
    <w:abstractNumId w:val="21"/>
  </w:num>
  <w:num w:numId="16">
    <w:abstractNumId w:val="16"/>
  </w:num>
  <w:num w:numId="17">
    <w:abstractNumId w:val="10"/>
  </w:num>
  <w:num w:numId="18">
    <w:abstractNumId w:val="22"/>
  </w:num>
  <w:num w:numId="19">
    <w:abstractNumId w:val="18"/>
  </w:num>
  <w:num w:numId="20">
    <w:abstractNumId w:val="5"/>
  </w:num>
  <w:num w:numId="21">
    <w:abstractNumId w:val="25"/>
  </w:num>
  <w:num w:numId="22">
    <w:abstractNumId w:val="36"/>
  </w:num>
  <w:num w:numId="23">
    <w:abstractNumId w:val="11"/>
  </w:num>
  <w:num w:numId="24">
    <w:abstractNumId w:val="29"/>
  </w:num>
  <w:num w:numId="25">
    <w:abstractNumId w:val="7"/>
  </w:num>
  <w:num w:numId="26">
    <w:abstractNumId w:val="43"/>
  </w:num>
  <w:num w:numId="27">
    <w:abstractNumId w:val="34"/>
  </w:num>
  <w:num w:numId="28">
    <w:abstractNumId w:val="8"/>
  </w:num>
  <w:num w:numId="29">
    <w:abstractNumId w:val="35"/>
  </w:num>
  <w:num w:numId="30">
    <w:abstractNumId w:val="6"/>
  </w:num>
  <w:num w:numId="31">
    <w:abstractNumId w:val="39"/>
  </w:num>
  <w:num w:numId="32">
    <w:abstractNumId w:val="0"/>
  </w:num>
  <w:num w:numId="33">
    <w:abstractNumId w:val="9"/>
  </w:num>
  <w:num w:numId="34">
    <w:abstractNumId w:val="30"/>
  </w:num>
  <w:num w:numId="35">
    <w:abstractNumId w:val="44"/>
  </w:num>
  <w:num w:numId="36">
    <w:abstractNumId w:val="28"/>
  </w:num>
  <w:num w:numId="37">
    <w:abstractNumId w:val="46"/>
  </w:num>
  <w:num w:numId="38">
    <w:abstractNumId w:val="14"/>
  </w:num>
  <w:num w:numId="39">
    <w:abstractNumId w:val="2"/>
  </w:num>
  <w:num w:numId="40">
    <w:abstractNumId w:val="27"/>
  </w:num>
  <w:num w:numId="41">
    <w:abstractNumId w:val="24"/>
  </w:num>
  <w:num w:numId="42">
    <w:abstractNumId w:val="33"/>
  </w:num>
  <w:num w:numId="43">
    <w:abstractNumId w:val="41"/>
  </w:num>
  <w:num w:numId="44">
    <w:abstractNumId w:val="31"/>
  </w:num>
  <w:num w:numId="45">
    <w:abstractNumId w:val="38"/>
  </w:num>
  <w:num w:numId="46">
    <w:abstractNumId w:val="1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EA"/>
    <w:rsid w:val="00000755"/>
    <w:rsid w:val="00001AAB"/>
    <w:rsid w:val="00002957"/>
    <w:rsid w:val="000040F7"/>
    <w:rsid w:val="00007998"/>
    <w:rsid w:val="00010C42"/>
    <w:rsid w:val="00011FC9"/>
    <w:rsid w:val="00012B95"/>
    <w:rsid w:val="000146FB"/>
    <w:rsid w:val="0001560A"/>
    <w:rsid w:val="00015AF2"/>
    <w:rsid w:val="00017209"/>
    <w:rsid w:val="00017C67"/>
    <w:rsid w:val="0002098E"/>
    <w:rsid w:val="00021BE6"/>
    <w:rsid w:val="00022652"/>
    <w:rsid w:val="00023D2C"/>
    <w:rsid w:val="000265DE"/>
    <w:rsid w:val="000432D8"/>
    <w:rsid w:val="00044D49"/>
    <w:rsid w:val="00045136"/>
    <w:rsid w:val="000479E3"/>
    <w:rsid w:val="0005005D"/>
    <w:rsid w:val="00052376"/>
    <w:rsid w:val="000545B9"/>
    <w:rsid w:val="000546E1"/>
    <w:rsid w:val="00054894"/>
    <w:rsid w:val="00055226"/>
    <w:rsid w:val="00062B4A"/>
    <w:rsid w:val="000641D5"/>
    <w:rsid w:val="00064F73"/>
    <w:rsid w:val="00065E27"/>
    <w:rsid w:val="000664F4"/>
    <w:rsid w:val="00066FFF"/>
    <w:rsid w:val="00067A21"/>
    <w:rsid w:val="00072002"/>
    <w:rsid w:val="000774A0"/>
    <w:rsid w:val="00081F49"/>
    <w:rsid w:val="00082746"/>
    <w:rsid w:val="000851A1"/>
    <w:rsid w:val="00085CF3"/>
    <w:rsid w:val="0008626B"/>
    <w:rsid w:val="00086D2D"/>
    <w:rsid w:val="00090BDF"/>
    <w:rsid w:val="000918C3"/>
    <w:rsid w:val="00093AD7"/>
    <w:rsid w:val="000A2C79"/>
    <w:rsid w:val="000A3604"/>
    <w:rsid w:val="000A6CF0"/>
    <w:rsid w:val="000A7577"/>
    <w:rsid w:val="000B3E13"/>
    <w:rsid w:val="000B42BF"/>
    <w:rsid w:val="000B438E"/>
    <w:rsid w:val="000B5801"/>
    <w:rsid w:val="000B5D50"/>
    <w:rsid w:val="000C021F"/>
    <w:rsid w:val="000C0458"/>
    <w:rsid w:val="000C23F3"/>
    <w:rsid w:val="000C61EB"/>
    <w:rsid w:val="000C6E08"/>
    <w:rsid w:val="000C7B3C"/>
    <w:rsid w:val="000D0341"/>
    <w:rsid w:val="000D3667"/>
    <w:rsid w:val="000D4B20"/>
    <w:rsid w:val="000D64D8"/>
    <w:rsid w:val="000D7FAF"/>
    <w:rsid w:val="000E1EA9"/>
    <w:rsid w:val="000E4679"/>
    <w:rsid w:val="000E6C6E"/>
    <w:rsid w:val="000F0E42"/>
    <w:rsid w:val="000F208F"/>
    <w:rsid w:val="000F3301"/>
    <w:rsid w:val="000F3FB8"/>
    <w:rsid w:val="000F6217"/>
    <w:rsid w:val="000F7376"/>
    <w:rsid w:val="00101EDA"/>
    <w:rsid w:val="00102144"/>
    <w:rsid w:val="0010289B"/>
    <w:rsid w:val="00103DF3"/>
    <w:rsid w:val="00107D5C"/>
    <w:rsid w:val="001146E8"/>
    <w:rsid w:val="00120792"/>
    <w:rsid w:val="00121BCC"/>
    <w:rsid w:val="00122E05"/>
    <w:rsid w:val="00127004"/>
    <w:rsid w:val="00130867"/>
    <w:rsid w:val="001319D8"/>
    <w:rsid w:val="001322FC"/>
    <w:rsid w:val="0013241C"/>
    <w:rsid w:val="00133A13"/>
    <w:rsid w:val="0013522C"/>
    <w:rsid w:val="001359E6"/>
    <w:rsid w:val="00135B69"/>
    <w:rsid w:val="00143AD3"/>
    <w:rsid w:val="00143B6C"/>
    <w:rsid w:val="00144574"/>
    <w:rsid w:val="001455F6"/>
    <w:rsid w:val="001466B9"/>
    <w:rsid w:val="00146B3A"/>
    <w:rsid w:val="001503F6"/>
    <w:rsid w:val="001506FF"/>
    <w:rsid w:val="001508B5"/>
    <w:rsid w:val="001530E9"/>
    <w:rsid w:val="00153A1D"/>
    <w:rsid w:val="001542E6"/>
    <w:rsid w:val="0015776D"/>
    <w:rsid w:val="00157B94"/>
    <w:rsid w:val="001636F2"/>
    <w:rsid w:val="00164B50"/>
    <w:rsid w:val="001656FE"/>
    <w:rsid w:val="00166594"/>
    <w:rsid w:val="001718BD"/>
    <w:rsid w:val="001739EC"/>
    <w:rsid w:val="001862BB"/>
    <w:rsid w:val="00192777"/>
    <w:rsid w:val="00196A56"/>
    <w:rsid w:val="001A0A03"/>
    <w:rsid w:val="001A0B3D"/>
    <w:rsid w:val="001B3B26"/>
    <w:rsid w:val="001B3CB2"/>
    <w:rsid w:val="001C2216"/>
    <w:rsid w:val="001C6303"/>
    <w:rsid w:val="001D16FB"/>
    <w:rsid w:val="001D34D6"/>
    <w:rsid w:val="001D59BB"/>
    <w:rsid w:val="001D5FD9"/>
    <w:rsid w:val="001E1E4F"/>
    <w:rsid w:val="001E4375"/>
    <w:rsid w:val="001E4640"/>
    <w:rsid w:val="001E4CF3"/>
    <w:rsid w:val="001E54C2"/>
    <w:rsid w:val="001E5B8C"/>
    <w:rsid w:val="001E7D52"/>
    <w:rsid w:val="001F430D"/>
    <w:rsid w:val="001F5D3E"/>
    <w:rsid w:val="001F6B65"/>
    <w:rsid w:val="001F7F29"/>
    <w:rsid w:val="00201A53"/>
    <w:rsid w:val="002068D4"/>
    <w:rsid w:val="00213ED2"/>
    <w:rsid w:val="002141D9"/>
    <w:rsid w:val="0021590F"/>
    <w:rsid w:val="00216522"/>
    <w:rsid w:val="00216E9D"/>
    <w:rsid w:val="00221AE9"/>
    <w:rsid w:val="002231D4"/>
    <w:rsid w:val="00225186"/>
    <w:rsid w:val="00227D10"/>
    <w:rsid w:val="002323E6"/>
    <w:rsid w:val="0023333C"/>
    <w:rsid w:val="00233F79"/>
    <w:rsid w:val="0023646B"/>
    <w:rsid w:val="00236D42"/>
    <w:rsid w:val="00237F12"/>
    <w:rsid w:val="00240242"/>
    <w:rsid w:val="002407A7"/>
    <w:rsid w:val="00240D19"/>
    <w:rsid w:val="00240D35"/>
    <w:rsid w:val="002412F0"/>
    <w:rsid w:val="00241949"/>
    <w:rsid w:val="002425B6"/>
    <w:rsid w:val="00242D71"/>
    <w:rsid w:val="00245904"/>
    <w:rsid w:val="002507DC"/>
    <w:rsid w:val="00251075"/>
    <w:rsid w:val="002522C3"/>
    <w:rsid w:val="002531DE"/>
    <w:rsid w:val="0025363F"/>
    <w:rsid w:val="0025457A"/>
    <w:rsid w:val="00255701"/>
    <w:rsid w:val="00260760"/>
    <w:rsid w:val="00260C9D"/>
    <w:rsid w:val="00260F26"/>
    <w:rsid w:val="00265CF7"/>
    <w:rsid w:val="00266EA4"/>
    <w:rsid w:val="00270A66"/>
    <w:rsid w:val="00271968"/>
    <w:rsid w:val="0027448C"/>
    <w:rsid w:val="00274EAB"/>
    <w:rsid w:val="00275A3B"/>
    <w:rsid w:val="00276795"/>
    <w:rsid w:val="0028144B"/>
    <w:rsid w:val="0028154E"/>
    <w:rsid w:val="0028194D"/>
    <w:rsid w:val="00282673"/>
    <w:rsid w:val="0028546E"/>
    <w:rsid w:val="002856D2"/>
    <w:rsid w:val="00286D60"/>
    <w:rsid w:val="0028769B"/>
    <w:rsid w:val="00287ABB"/>
    <w:rsid w:val="002906B7"/>
    <w:rsid w:val="0029421F"/>
    <w:rsid w:val="0029440C"/>
    <w:rsid w:val="00295466"/>
    <w:rsid w:val="00297C55"/>
    <w:rsid w:val="00297CE2"/>
    <w:rsid w:val="002A2081"/>
    <w:rsid w:val="002A2FA5"/>
    <w:rsid w:val="002A5352"/>
    <w:rsid w:val="002A62DC"/>
    <w:rsid w:val="002B4A58"/>
    <w:rsid w:val="002B64EA"/>
    <w:rsid w:val="002B78E1"/>
    <w:rsid w:val="002C1BE8"/>
    <w:rsid w:val="002C239F"/>
    <w:rsid w:val="002C287E"/>
    <w:rsid w:val="002C3BA0"/>
    <w:rsid w:val="002C3DBF"/>
    <w:rsid w:val="002C79F5"/>
    <w:rsid w:val="002D6E8E"/>
    <w:rsid w:val="002E0359"/>
    <w:rsid w:val="002E1D1D"/>
    <w:rsid w:val="002E2036"/>
    <w:rsid w:val="002E5655"/>
    <w:rsid w:val="002E6529"/>
    <w:rsid w:val="002E6888"/>
    <w:rsid w:val="002F1E3E"/>
    <w:rsid w:val="002F2356"/>
    <w:rsid w:val="002F42DF"/>
    <w:rsid w:val="00300BEB"/>
    <w:rsid w:val="003016A6"/>
    <w:rsid w:val="00302351"/>
    <w:rsid w:val="00303B87"/>
    <w:rsid w:val="00307876"/>
    <w:rsid w:val="00307E44"/>
    <w:rsid w:val="0031069A"/>
    <w:rsid w:val="00311124"/>
    <w:rsid w:val="00316D58"/>
    <w:rsid w:val="0032383C"/>
    <w:rsid w:val="00327FF5"/>
    <w:rsid w:val="003304A3"/>
    <w:rsid w:val="00333E13"/>
    <w:rsid w:val="00335D7E"/>
    <w:rsid w:val="0034218E"/>
    <w:rsid w:val="003438D2"/>
    <w:rsid w:val="00351D82"/>
    <w:rsid w:val="00351D91"/>
    <w:rsid w:val="00352DDA"/>
    <w:rsid w:val="0035348D"/>
    <w:rsid w:val="00354357"/>
    <w:rsid w:val="00354834"/>
    <w:rsid w:val="00355615"/>
    <w:rsid w:val="003631B4"/>
    <w:rsid w:val="0036372A"/>
    <w:rsid w:val="003703C8"/>
    <w:rsid w:val="003707E4"/>
    <w:rsid w:val="00371366"/>
    <w:rsid w:val="00371EE1"/>
    <w:rsid w:val="00377653"/>
    <w:rsid w:val="00377A5F"/>
    <w:rsid w:val="0038254B"/>
    <w:rsid w:val="00384E57"/>
    <w:rsid w:val="00385DB4"/>
    <w:rsid w:val="00390A0C"/>
    <w:rsid w:val="00391B68"/>
    <w:rsid w:val="003933FE"/>
    <w:rsid w:val="003961B8"/>
    <w:rsid w:val="003976A8"/>
    <w:rsid w:val="003A27F7"/>
    <w:rsid w:val="003A44D0"/>
    <w:rsid w:val="003A49C7"/>
    <w:rsid w:val="003A69A8"/>
    <w:rsid w:val="003A6DA2"/>
    <w:rsid w:val="003B03C3"/>
    <w:rsid w:val="003B13F6"/>
    <w:rsid w:val="003B3DD9"/>
    <w:rsid w:val="003B40C4"/>
    <w:rsid w:val="003B50FF"/>
    <w:rsid w:val="003B56FF"/>
    <w:rsid w:val="003B7213"/>
    <w:rsid w:val="003C2FB4"/>
    <w:rsid w:val="003C3502"/>
    <w:rsid w:val="003C3F0D"/>
    <w:rsid w:val="003D2E15"/>
    <w:rsid w:val="003D56F4"/>
    <w:rsid w:val="003E09B5"/>
    <w:rsid w:val="003E3958"/>
    <w:rsid w:val="003E6B0B"/>
    <w:rsid w:val="003E773C"/>
    <w:rsid w:val="003F02F5"/>
    <w:rsid w:val="003F1A1F"/>
    <w:rsid w:val="003F5777"/>
    <w:rsid w:val="003F5A55"/>
    <w:rsid w:val="003F68DF"/>
    <w:rsid w:val="003F6FD6"/>
    <w:rsid w:val="003F7D0D"/>
    <w:rsid w:val="00401007"/>
    <w:rsid w:val="00407B8E"/>
    <w:rsid w:val="004105F2"/>
    <w:rsid w:val="00412B8A"/>
    <w:rsid w:val="00416D93"/>
    <w:rsid w:val="0042016D"/>
    <w:rsid w:val="00420514"/>
    <w:rsid w:val="00422C7E"/>
    <w:rsid w:val="0042383E"/>
    <w:rsid w:val="00423933"/>
    <w:rsid w:val="00424881"/>
    <w:rsid w:val="00433933"/>
    <w:rsid w:val="00444769"/>
    <w:rsid w:val="00446564"/>
    <w:rsid w:val="00451462"/>
    <w:rsid w:val="0045332C"/>
    <w:rsid w:val="00453C16"/>
    <w:rsid w:val="0045520D"/>
    <w:rsid w:val="00462015"/>
    <w:rsid w:val="00462129"/>
    <w:rsid w:val="00463639"/>
    <w:rsid w:val="0046417C"/>
    <w:rsid w:val="00465A27"/>
    <w:rsid w:val="004726E8"/>
    <w:rsid w:val="0047394B"/>
    <w:rsid w:val="00473BE2"/>
    <w:rsid w:val="004773F0"/>
    <w:rsid w:val="00480CAD"/>
    <w:rsid w:val="004814B3"/>
    <w:rsid w:val="004817EA"/>
    <w:rsid w:val="0048263C"/>
    <w:rsid w:val="00483947"/>
    <w:rsid w:val="0048454E"/>
    <w:rsid w:val="00484ACB"/>
    <w:rsid w:val="00485BD4"/>
    <w:rsid w:val="004919DB"/>
    <w:rsid w:val="004921C1"/>
    <w:rsid w:val="004A344C"/>
    <w:rsid w:val="004A39EA"/>
    <w:rsid w:val="004A4BB9"/>
    <w:rsid w:val="004B043D"/>
    <w:rsid w:val="004B4842"/>
    <w:rsid w:val="004C1D09"/>
    <w:rsid w:val="004C3F7E"/>
    <w:rsid w:val="004C5D7E"/>
    <w:rsid w:val="004C6D22"/>
    <w:rsid w:val="004C7A94"/>
    <w:rsid w:val="004D46A3"/>
    <w:rsid w:val="004E0137"/>
    <w:rsid w:val="004E4F1A"/>
    <w:rsid w:val="004E5BB2"/>
    <w:rsid w:val="004E7770"/>
    <w:rsid w:val="004F08CC"/>
    <w:rsid w:val="004F08D3"/>
    <w:rsid w:val="004F0FF8"/>
    <w:rsid w:val="004F2C10"/>
    <w:rsid w:val="00502DE1"/>
    <w:rsid w:val="00503767"/>
    <w:rsid w:val="005072A2"/>
    <w:rsid w:val="00513924"/>
    <w:rsid w:val="0051466A"/>
    <w:rsid w:val="00517EBC"/>
    <w:rsid w:val="005212F1"/>
    <w:rsid w:val="0052321C"/>
    <w:rsid w:val="00524EA6"/>
    <w:rsid w:val="005430EA"/>
    <w:rsid w:val="005511CD"/>
    <w:rsid w:val="005549E4"/>
    <w:rsid w:val="00560215"/>
    <w:rsid w:val="00560B7F"/>
    <w:rsid w:val="0056147E"/>
    <w:rsid w:val="0056379E"/>
    <w:rsid w:val="00563822"/>
    <w:rsid w:val="00566FD1"/>
    <w:rsid w:val="005725D1"/>
    <w:rsid w:val="005738C8"/>
    <w:rsid w:val="00577F98"/>
    <w:rsid w:val="005860F9"/>
    <w:rsid w:val="00587187"/>
    <w:rsid w:val="00590110"/>
    <w:rsid w:val="005908BE"/>
    <w:rsid w:val="00591E52"/>
    <w:rsid w:val="00593321"/>
    <w:rsid w:val="005959E5"/>
    <w:rsid w:val="0059670A"/>
    <w:rsid w:val="00597068"/>
    <w:rsid w:val="005A558E"/>
    <w:rsid w:val="005A6B07"/>
    <w:rsid w:val="005B24A9"/>
    <w:rsid w:val="005B7A83"/>
    <w:rsid w:val="005C3994"/>
    <w:rsid w:val="005C614C"/>
    <w:rsid w:val="005C6674"/>
    <w:rsid w:val="005E02F2"/>
    <w:rsid w:val="005E6227"/>
    <w:rsid w:val="005F3037"/>
    <w:rsid w:val="005F72B3"/>
    <w:rsid w:val="00602042"/>
    <w:rsid w:val="006038BC"/>
    <w:rsid w:val="00604EFF"/>
    <w:rsid w:val="00614020"/>
    <w:rsid w:val="00616544"/>
    <w:rsid w:val="00616C79"/>
    <w:rsid w:val="0061741A"/>
    <w:rsid w:val="006206D0"/>
    <w:rsid w:val="006212EB"/>
    <w:rsid w:val="00621377"/>
    <w:rsid w:val="00621751"/>
    <w:rsid w:val="00622745"/>
    <w:rsid w:val="00622FDD"/>
    <w:rsid w:val="0062573A"/>
    <w:rsid w:val="006305F2"/>
    <w:rsid w:val="006319A5"/>
    <w:rsid w:val="006358E5"/>
    <w:rsid w:val="0063649B"/>
    <w:rsid w:val="00637A28"/>
    <w:rsid w:val="00640696"/>
    <w:rsid w:val="0064371B"/>
    <w:rsid w:val="00643846"/>
    <w:rsid w:val="0064478C"/>
    <w:rsid w:val="006449D3"/>
    <w:rsid w:val="006455B3"/>
    <w:rsid w:val="00652D06"/>
    <w:rsid w:val="00654443"/>
    <w:rsid w:val="00654522"/>
    <w:rsid w:val="00656D0B"/>
    <w:rsid w:val="006575DB"/>
    <w:rsid w:val="0066237C"/>
    <w:rsid w:val="00665100"/>
    <w:rsid w:val="00666E6B"/>
    <w:rsid w:val="006706FA"/>
    <w:rsid w:val="00671B1D"/>
    <w:rsid w:val="0067266A"/>
    <w:rsid w:val="00672B0E"/>
    <w:rsid w:val="00673C96"/>
    <w:rsid w:val="006743C2"/>
    <w:rsid w:val="006816E4"/>
    <w:rsid w:val="0068227A"/>
    <w:rsid w:val="00687C36"/>
    <w:rsid w:val="0069450B"/>
    <w:rsid w:val="00694722"/>
    <w:rsid w:val="006A6BB0"/>
    <w:rsid w:val="006B0339"/>
    <w:rsid w:val="006B0CC8"/>
    <w:rsid w:val="006B2662"/>
    <w:rsid w:val="006B48E1"/>
    <w:rsid w:val="006B4B81"/>
    <w:rsid w:val="006B6F93"/>
    <w:rsid w:val="006D28E2"/>
    <w:rsid w:val="006D2CC9"/>
    <w:rsid w:val="006D4528"/>
    <w:rsid w:val="006D5C75"/>
    <w:rsid w:val="006D7A57"/>
    <w:rsid w:val="006E0EC6"/>
    <w:rsid w:val="006E2AB0"/>
    <w:rsid w:val="006E388A"/>
    <w:rsid w:val="006E3E9B"/>
    <w:rsid w:val="006F24A9"/>
    <w:rsid w:val="006F3067"/>
    <w:rsid w:val="006F740B"/>
    <w:rsid w:val="006F757E"/>
    <w:rsid w:val="0070396E"/>
    <w:rsid w:val="00704C1E"/>
    <w:rsid w:val="00707B1F"/>
    <w:rsid w:val="00707E96"/>
    <w:rsid w:val="00711AF4"/>
    <w:rsid w:val="00711EDB"/>
    <w:rsid w:val="00713995"/>
    <w:rsid w:val="007142BA"/>
    <w:rsid w:val="007145DB"/>
    <w:rsid w:val="0071655A"/>
    <w:rsid w:val="0072098C"/>
    <w:rsid w:val="00722BB5"/>
    <w:rsid w:val="00725F60"/>
    <w:rsid w:val="00727604"/>
    <w:rsid w:val="00727CC6"/>
    <w:rsid w:val="00734085"/>
    <w:rsid w:val="0073428A"/>
    <w:rsid w:val="0073436C"/>
    <w:rsid w:val="00735547"/>
    <w:rsid w:val="00735B18"/>
    <w:rsid w:val="00737CEA"/>
    <w:rsid w:val="00740A5B"/>
    <w:rsid w:val="00752CC4"/>
    <w:rsid w:val="007531B1"/>
    <w:rsid w:val="007541FA"/>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2DB"/>
    <w:rsid w:val="00786A2B"/>
    <w:rsid w:val="00786D87"/>
    <w:rsid w:val="00787ACF"/>
    <w:rsid w:val="00790E22"/>
    <w:rsid w:val="00794910"/>
    <w:rsid w:val="00794D8B"/>
    <w:rsid w:val="007963F4"/>
    <w:rsid w:val="00797F38"/>
    <w:rsid w:val="007A1850"/>
    <w:rsid w:val="007A6191"/>
    <w:rsid w:val="007A6E41"/>
    <w:rsid w:val="007B08F0"/>
    <w:rsid w:val="007B131D"/>
    <w:rsid w:val="007B2735"/>
    <w:rsid w:val="007B2AE4"/>
    <w:rsid w:val="007C0524"/>
    <w:rsid w:val="007C4142"/>
    <w:rsid w:val="007C41EB"/>
    <w:rsid w:val="007D437C"/>
    <w:rsid w:val="007D50F1"/>
    <w:rsid w:val="007D7356"/>
    <w:rsid w:val="007E3A77"/>
    <w:rsid w:val="007E6D6A"/>
    <w:rsid w:val="007E74FE"/>
    <w:rsid w:val="007F480E"/>
    <w:rsid w:val="007F57BA"/>
    <w:rsid w:val="007F774A"/>
    <w:rsid w:val="00800E83"/>
    <w:rsid w:val="00801A1D"/>
    <w:rsid w:val="00802D81"/>
    <w:rsid w:val="0080703F"/>
    <w:rsid w:val="00810B8C"/>
    <w:rsid w:val="0081215D"/>
    <w:rsid w:val="008122A9"/>
    <w:rsid w:val="0081420E"/>
    <w:rsid w:val="00815511"/>
    <w:rsid w:val="00816C06"/>
    <w:rsid w:val="0082033F"/>
    <w:rsid w:val="00823E01"/>
    <w:rsid w:val="00824435"/>
    <w:rsid w:val="008249DA"/>
    <w:rsid w:val="008316C6"/>
    <w:rsid w:val="00835649"/>
    <w:rsid w:val="00836993"/>
    <w:rsid w:val="008369E2"/>
    <w:rsid w:val="00836D1C"/>
    <w:rsid w:val="00840415"/>
    <w:rsid w:val="00842F45"/>
    <w:rsid w:val="008432E4"/>
    <w:rsid w:val="008473E7"/>
    <w:rsid w:val="00850663"/>
    <w:rsid w:val="00850C72"/>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48F"/>
    <w:rsid w:val="00880F65"/>
    <w:rsid w:val="00882249"/>
    <w:rsid w:val="008842D1"/>
    <w:rsid w:val="008852FE"/>
    <w:rsid w:val="00885A75"/>
    <w:rsid w:val="008874C5"/>
    <w:rsid w:val="0089105B"/>
    <w:rsid w:val="0089177A"/>
    <w:rsid w:val="00896452"/>
    <w:rsid w:val="0089782B"/>
    <w:rsid w:val="008A32BE"/>
    <w:rsid w:val="008A53CE"/>
    <w:rsid w:val="008A54ED"/>
    <w:rsid w:val="008A704A"/>
    <w:rsid w:val="008A7B51"/>
    <w:rsid w:val="008B0A13"/>
    <w:rsid w:val="008B137B"/>
    <w:rsid w:val="008B1E56"/>
    <w:rsid w:val="008C23F0"/>
    <w:rsid w:val="008C3308"/>
    <w:rsid w:val="008C390E"/>
    <w:rsid w:val="008C3943"/>
    <w:rsid w:val="008C7887"/>
    <w:rsid w:val="008D0C67"/>
    <w:rsid w:val="008D18AB"/>
    <w:rsid w:val="008D2269"/>
    <w:rsid w:val="008D269A"/>
    <w:rsid w:val="008D3C19"/>
    <w:rsid w:val="008D40BF"/>
    <w:rsid w:val="008D4ABF"/>
    <w:rsid w:val="008D7A31"/>
    <w:rsid w:val="008D7F56"/>
    <w:rsid w:val="008E0991"/>
    <w:rsid w:val="008E205A"/>
    <w:rsid w:val="008E5836"/>
    <w:rsid w:val="008E7141"/>
    <w:rsid w:val="008F1246"/>
    <w:rsid w:val="008F2586"/>
    <w:rsid w:val="008F3643"/>
    <w:rsid w:val="008F50DC"/>
    <w:rsid w:val="008F60C3"/>
    <w:rsid w:val="00900759"/>
    <w:rsid w:val="009013F7"/>
    <w:rsid w:val="0090205C"/>
    <w:rsid w:val="0090300B"/>
    <w:rsid w:val="00903FA0"/>
    <w:rsid w:val="0090448C"/>
    <w:rsid w:val="009049DA"/>
    <w:rsid w:val="0091120D"/>
    <w:rsid w:val="009113D9"/>
    <w:rsid w:val="00913C93"/>
    <w:rsid w:val="009159F8"/>
    <w:rsid w:val="009166B4"/>
    <w:rsid w:val="0092046F"/>
    <w:rsid w:val="009227E5"/>
    <w:rsid w:val="009245BC"/>
    <w:rsid w:val="009270CC"/>
    <w:rsid w:val="00927741"/>
    <w:rsid w:val="00930D19"/>
    <w:rsid w:val="009310A2"/>
    <w:rsid w:val="00935DFF"/>
    <w:rsid w:val="00936483"/>
    <w:rsid w:val="00936507"/>
    <w:rsid w:val="00937F54"/>
    <w:rsid w:val="00940550"/>
    <w:rsid w:val="009409AE"/>
    <w:rsid w:val="00944772"/>
    <w:rsid w:val="00945C64"/>
    <w:rsid w:val="0095196A"/>
    <w:rsid w:val="0095248A"/>
    <w:rsid w:val="00957E82"/>
    <w:rsid w:val="00966A06"/>
    <w:rsid w:val="00967BAC"/>
    <w:rsid w:val="00971349"/>
    <w:rsid w:val="0097466D"/>
    <w:rsid w:val="00974BF3"/>
    <w:rsid w:val="0097739F"/>
    <w:rsid w:val="00980285"/>
    <w:rsid w:val="00980ACA"/>
    <w:rsid w:val="00986205"/>
    <w:rsid w:val="009912B2"/>
    <w:rsid w:val="009938E9"/>
    <w:rsid w:val="00997D6E"/>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E0633"/>
    <w:rsid w:val="009F0043"/>
    <w:rsid w:val="009F1606"/>
    <w:rsid w:val="009F1DF3"/>
    <w:rsid w:val="009F7185"/>
    <w:rsid w:val="00A0144E"/>
    <w:rsid w:val="00A02865"/>
    <w:rsid w:val="00A06662"/>
    <w:rsid w:val="00A0722E"/>
    <w:rsid w:val="00A113EF"/>
    <w:rsid w:val="00A127C1"/>
    <w:rsid w:val="00A1620A"/>
    <w:rsid w:val="00A22AFE"/>
    <w:rsid w:val="00A2443D"/>
    <w:rsid w:val="00A2529E"/>
    <w:rsid w:val="00A27747"/>
    <w:rsid w:val="00A27E9F"/>
    <w:rsid w:val="00A302B7"/>
    <w:rsid w:val="00A35784"/>
    <w:rsid w:val="00A40384"/>
    <w:rsid w:val="00A40F3E"/>
    <w:rsid w:val="00A43E10"/>
    <w:rsid w:val="00A4418D"/>
    <w:rsid w:val="00A47A43"/>
    <w:rsid w:val="00A555E4"/>
    <w:rsid w:val="00A61326"/>
    <w:rsid w:val="00A61CC9"/>
    <w:rsid w:val="00A63D6F"/>
    <w:rsid w:val="00A63D76"/>
    <w:rsid w:val="00A65A90"/>
    <w:rsid w:val="00A67710"/>
    <w:rsid w:val="00A7228A"/>
    <w:rsid w:val="00A7508C"/>
    <w:rsid w:val="00A81A6F"/>
    <w:rsid w:val="00A8357A"/>
    <w:rsid w:val="00A83B2F"/>
    <w:rsid w:val="00A874A1"/>
    <w:rsid w:val="00A9020D"/>
    <w:rsid w:val="00A90403"/>
    <w:rsid w:val="00A90915"/>
    <w:rsid w:val="00A917D0"/>
    <w:rsid w:val="00A9709A"/>
    <w:rsid w:val="00A97A88"/>
    <w:rsid w:val="00AA0A0C"/>
    <w:rsid w:val="00AA2580"/>
    <w:rsid w:val="00AA3954"/>
    <w:rsid w:val="00AA39D7"/>
    <w:rsid w:val="00AA464C"/>
    <w:rsid w:val="00AA7FE4"/>
    <w:rsid w:val="00AB0744"/>
    <w:rsid w:val="00AB1A16"/>
    <w:rsid w:val="00AB1A7C"/>
    <w:rsid w:val="00AB2FAE"/>
    <w:rsid w:val="00AC0229"/>
    <w:rsid w:val="00AC12C2"/>
    <w:rsid w:val="00AC2A09"/>
    <w:rsid w:val="00AC3EF6"/>
    <w:rsid w:val="00AC4BA3"/>
    <w:rsid w:val="00AD1511"/>
    <w:rsid w:val="00AD37B1"/>
    <w:rsid w:val="00AD6BA9"/>
    <w:rsid w:val="00AD6FAD"/>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21E3"/>
    <w:rsid w:val="00B2335A"/>
    <w:rsid w:val="00B23CA3"/>
    <w:rsid w:val="00B243FE"/>
    <w:rsid w:val="00B25173"/>
    <w:rsid w:val="00B25276"/>
    <w:rsid w:val="00B34515"/>
    <w:rsid w:val="00B346B6"/>
    <w:rsid w:val="00B36229"/>
    <w:rsid w:val="00B3795B"/>
    <w:rsid w:val="00B37AD7"/>
    <w:rsid w:val="00B41914"/>
    <w:rsid w:val="00B423AC"/>
    <w:rsid w:val="00B427FB"/>
    <w:rsid w:val="00B43067"/>
    <w:rsid w:val="00B50CD6"/>
    <w:rsid w:val="00B5275A"/>
    <w:rsid w:val="00B549FD"/>
    <w:rsid w:val="00B55454"/>
    <w:rsid w:val="00B554C7"/>
    <w:rsid w:val="00B569ED"/>
    <w:rsid w:val="00B60881"/>
    <w:rsid w:val="00B62254"/>
    <w:rsid w:val="00B63FA7"/>
    <w:rsid w:val="00B6433C"/>
    <w:rsid w:val="00B66CB2"/>
    <w:rsid w:val="00B703FE"/>
    <w:rsid w:val="00B70C41"/>
    <w:rsid w:val="00B71790"/>
    <w:rsid w:val="00B73524"/>
    <w:rsid w:val="00B760EE"/>
    <w:rsid w:val="00B76DFE"/>
    <w:rsid w:val="00B81460"/>
    <w:rsid w:val="00B820B7"/>
    <w:rsid w:val="00B829F8"/>
    <w:rsid w:val="00B85D91"/>
    <w:rsid w:val="00B87819"/>
    <w:rsid w:val="00B9092A"/>
    <w:rsid w:val="00B91CC9"/>
    <w:rsid w:val="00B92323"/>
    <w:rsid w:val="00B942D2"/>
    <w:rsid w:val="00B94A81"/>
    <w:rsid w:val="00B965EE"/>
    <w:rsid w:val="00BA036B"/>
    <w:rsid w:val="00BA07FC"/>
    <w:rsid w:val="00BA2ECA"/>
    <w:rsid w:val="00BA5C2F"/>
    <w:rsid w:val="00BA690A"/>
    <w:rsid w:val="00BB455A"/>
    <w:rsid w:val="00BB562E"/>
    <w:rsid w:val="00BB66EC"/>
    <w:rsid w:val="00BC236F"/>
    <w:rsid w:val="00BC2536"/>
    <w:rsid w:val="00BC285E"/>
    <w:rsid w:val="00BC4887"/>
    <w:rsid w:val="00BE2379"/>
    <w:rsid w:val="00BE3256"/>
    <w:rsid w:val="00BE427D"/>
    <w:rsid w:val="00BE48BE"/>
    <w:rsid w:val="00BE4A97"/>
    <w:rsid w:val="00BE5154"/>
    <w:rsid w:val="00BE5A0D"/>
    <w:rsid w:val="00BE74CB"/>
    <w:rsid w:val="00BE7C5D"/>
    <w:rsid w:val="00BF0722"/>
    <w:rsid w:val="00BF218F"/>
    <w:rsid w:val="00BF2C95"/>
    <w:rsid w:val="00BF3C18"/>
    <w:rsid w:val="00BF3DF1"/>
    <w:rsid w:val="00BF541F"/>
    <w:rsid w:val="00C01BAF"/>
    <w:rsid w:val="00C01F96"/>
    <w:rsid w:val="00C05166"/>
    <w:rsid w:val="00C0767B"/>
    <w:rsid w:val="00C07C01"/>
    <w:rsid w:val="00C10577"/>
    <w:rsid w:val="00C11545"/>
    <w:rsid w:val="00C11E15"/>
    <w:rsid w:val="00C150D2"/>
    <w:rsid w:val="00C16E72"/>
    <w:rsid w:val="00C23187"/>
    <w:rsid w:val="00C23A4B"/>
    <w:rsid w:val="00C25B20"/>
    <w:rsid w:val="00C269E4"/>
    <w:rsid w:val="00C27805"/>
    <w:rsid w:val="00C34B55"/>
    <w:rsid w:val="00C35DA9"/>
    <w:rsid w:val="00C36594"/>
    <w:rsid w:val="00C404F4"/>
    <w:rsid w:val="00C406F0"/>
    <w:rsid w:val="00C421E7"/>
    <w:rsid w:val="00C42369"/>
    <w:rsid w:val="00C45A9B"/>
    <w:rsid w:val="00C4640C"/>
    <w:rsid w:val="00C522B9"/>
    <w:rsid w:val="00C5482F"/>
    <w:rsid w:val="00C54EFB"/>
    <w:rsid w:val="00C55133"/>
    <w:rsid w:val="00C579B8"/>
    <w:rsid w:val="00C62F50"/>
    <w:rsid w:val="00C645D2"/>
    <w:rsid w:val="00C649D3"/>
    <w:rsid w:val="00C65D9B"/>
    <w:rsid w:val="00C67EE1"/>
    <w:rsid w:val="00C724E5"/>
    <w:rsid w:val="00C74192"/>
    <w:rsid w:val="00C7421A"/>
    <w:rsid w:val="00C74345"/>
    <w:rsid w:val="00C74969"/>
    <w:rsid w:val="00C760F4"/>
    <w:rsid w:val="00C77066"/>
    <w:rsid w:val="00C81779"/>
    <w:rsid w:val="00C81CC2"/>
    <w:rsid w:val="00C8234C"/>
    <w:rsid w:val="00C82401"/>
    <w:rsid w:val="00C8289C"/>
    <w:rsid w:val="00C8600A"/>
    <w:rsid w:val="00C86991"/>
    <w:rsid w:val="00C86AFE"/>
    <w:rsid w:val="00C906C0"/>
    <w:rsid w:val="00C919F7"/>
    <w:rsid w:val="00C92435"/>
    <w:rsid w:val="00C94682"/>
    <w:rsid w:val="00CA078D"/>
    <w:rsid w:val="00CA189C"/>
    <w:rsid w:val="00CA1C7A"/>
    <w:rsid w:val="00CA3060"/>
    <w:rsid w:val="00CA3BC8"/>
    <w:rsid w:val="00CA5D8A"/>
    <w:rsid w:val="00CA74BA"/>
    <w:rsid w:val="00CB2B47"/>
    <w:rsid w:val="00CB5032"/>
    <w:rsid w:val="00CC00E4"/>
    <w:rsid w:val="00CC1121"/>
    <w:rsid w:val="00CC19C0"/>
    <w:rsid w:val="00CC2B2B"/>
    <w:rsid w:val="00CC5935"/>
    <w:rsid w:val="00CC6156"/>
    <w:rsid w:val="00CD083E"/>
    <w:rsid w:val="00CD2189"/>
    <w:rsid w:val="00CD2A79"/>
    <w:rsid w:val="00CD6D38"/>
    <w:rsid w:val="00CD7329"/>
    <w:rsid w:val="00CE0F7F"/>
    <w:rsid w:val="00CE181B"/>
    <w:rsid w:val="00CE3F6A"/>
    <w:rsid w:val="00CE40F2"/>
    <w:rsid w:val="00CE76B1"/>
    <w:rsid w:val="00CF2A13"/>
    <w:rsid w:val="00CF61F5"/>
    <w:rsid w:val="00CF6591"/>
    <w:rsid w:val="00CF7B65"/>
    <w:rsid w:val="00D0001E"/>
    <w:rsid w:val="00D00783"/>
    <w:rsid w:val="00D01B6D"/>
    <w:rsid w:val="00D020D7"/>
    <w:rsid w:val="00D05663"/>
    <w:rsid w:val="00D115D2"/>
    <w:rsid w:val="00D1517F"/>
    <w:rsid w:val="00D15316"/>
    <w:rsid w:val="00D16135"/>
    <w:rsid w:val="00D203C3"/>
    <w:rsid w:val="00D204BA"/>
    <w:rsid w:val="00D20DDC"/>
    <w:rsid w:val="00D22F24"/>
    <w:rsid w:val="00D270F7"/>
    <w:rsid w:val="00D273E3"/>
    <w:rsid w:val="00D30500"/>
    <w:rsid w:val="00D338DD"/>
    <w:rsid w:val="00D35648"/>
    <w:rsid w:val="00D35FBA"/>
    <w:rsid w:val="00D402AE"/>
    <w:rsid w:val="00D427BC"/>
    <w:rsid w:val="00D45A71"/>
    <w:rsid w:val="00D5116F"/>
    <w:rsid w:val="00D5185B"/>
    <w:rsid w:val="00D538AD"/>
    <w:rsid w:val="00D55545"/>
    <w:rsid w:val="00D5636E"/>
    <w:rsid w:val="00D56410"/>
    <w:rsid w:val="00D57085"/>
    <w:rsid w:val="00D60C6F"/>
    <w:rsid w:val="00D62F83"/>
    <w:rsid w:val="00D630FA"/>
    <w:rsid w:val="00D646EB"/>
    <w:rsid w:val="00D6505C"/>
    <w:rsid w:val="00D65C05"/>
    <w:rsid w:val="00D665F2"/>
    <w:rsid w:val="00D724B2"/>
    <w:rsid w:val="00D73150"/>
    <w:rsid w:val="00D76A45"/>
    <w:rsid w:val="00D770F0"/>
    <w:rsid w:val="00D82AC0"/>
    <w:rsid w:val="00D83C0B"/>
    <w:rsid w:val="00D86F74"/>
    <w:rsid w:val="00D924A1"/>
    <w:rsid w:val="00D93233"/>
    <w:rsid w:val="00D948DF"/>
    <w:rsid w:val="00D94A3E"/>
    <w:rsid w:val="00D95DF4"/>
    <w:rsid w:val="00D97794"/>
    <w:rsid w:val="00DA0933"/>
    <w:rsid w:val="00DA0C7A"/>
    <w:rsid w:val="00DA14A2"/>
    <w:rsid w:val="00DA2713"/>
    <w:rsid w:val="00DA3122"/>
    <w:rsid w:val="00DA3A6A"/>
    <w:rsid w:val="00DA5E04"/>
    <w:rsid w:val="00DA6BBA"/>
    <w:rsid w:val="00DB1303"/>
    <w:rsid w:val="00DB48A4"/>
    <w:rsid w:val="00DB7A99"/>
    <w:rsid w:val="00DC3058"/>
    <w:rsid w:val="00DC3472"/>
    <w:rsid w:val="00DC48F2"/>
    <w:rsid w:val="00DC4E4F"/>
    <w:rsid w:val="00DC6649"/>
    <w:rsid w:val="00DD1C18"/>
    <w:rsid w:val="00DD1E3E"/>
    <w:rsid w:val="00DD5693"/>
    <w:rsid w:val="00DD5DCA"/>
    <w:rsid w:val="00DE685E"/>
    <w:rsid w:val="00DE6C01"/>
    <w:rsid w:val="00DF037E"/>
    <w:rsid w:val="00DF0846"/>
    <w:rsid w:val="00DF08C1"/>
    <w:rsid w:val="00DF1390"/>
    <w:rsid w:val="00DF462E"/>
    <w:rsid w:val="00DF4C15"/>
    <w:rsid w:val="00DF5A4B"/>
    <w:rsid w:val="00DF6955"/>
    <w:rsid w:val="00E0001D"/>
    <w:rsid w:val="00E060C9"/>
    <w:rsid w:val="00E0692C"/>
    <w:rsid w:val="00E10114"/>
    <w:rsid w:val="00E1081F"/>
    <w:rsid w:val="00E11455"/>
    <w:rsid w:val="00E11520"/>
    <w:rsid w:val="00E1314A"/>
    <w:rsid w:val="00E15A28"/>
    <w:rsid w:val="00E2216F"/>
    <w:rsid w:val="00E22D9E"/>
    <w:rsid w:val="00E27B4E"/>
    <w:rsid w:val="00E30E27"/>
    <w:rsid w:val="00E3258A"/>
    <w:rsid w:val="00E34015"/>
    <w:rsid w:val="00E372D2"/>
    <w:rsid w:val="00E40375"/>
    <w:rsid w:val="00E410AB"/>
    <w:rsid w:val="00E50C7E"/>
    <w:rsid w:val="00E523AF"/>
    <w:rsid w:val="00E52A74"/>
    <w:rsid w:val="00E52FDE"/>
    <w:rsid w:val="00E61045"/>
    <w:rsid w:val="00E612AB"/>
    <w:rsid w:val="00E6274B"/>
    <w:rsid w:val="00E65EE3"/>
    <w:rsid w:val="00E66971"/>
    <w:rsid w:val="00E669DA"/>
    <w:rsid w:val="00E7045F"/>
    <w:rsid w:val="00E7281D"/>
    <w:rsid w:val="00E74470"/>
    <w:rsid w:val="00E756C9"/>
    <w:rsid w:val="00E7583F"/>
    <w:rsid w:val="00E76C2A"/>
    <w:rsid w:val="00E77637"/>
    <w:rsid w:val="00E80336"/>
    <w:rsid w:val="00E80980"/>
    <w:rsid w:val="00E81318"/>
    <w:rsid w:val="00E82D6B"/>
    <w:rsid w:val="00E83508"/>
    <w:rsid w:val="00E8566C"/>
    <w:rsid w:val="00E865DC"/>
    <w:rsid w:val="00E87390"/>
    <w:rsid w:val="00E933D5"/>
    <w:rsid w:val="00EA0B1E"/>
    <w:rsid w:val="00EA27CB"/>
    <w:rsid w:val="00EA3ADA"/>
    <w:rsid w:val="00EA4A7E"/>
    <w:rsid w:val="00EA5E3A"/>
    <w:rsid w:val="00EB1370"/>
    <w:rsid w:val="00EB1B1A"/>
    <w:rsid w:val="00EB3E70"/>
    <w:rsid w:val="00EB42EF"/>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EF5056"/>
    <w:rsid w:val="00EF50D8"/>
    <w:rsid w:val="00F0033A"/>
    <w:rsid w:val="00F07E04"/>
    <w:rsid w:val="00F11397"/>
    <w:rsid w:val="00F162C1"/>
    <w:rsid w:val="00F16436"/>
    <w:rsid w:val="00F20D09"/>
    <w:rsid w:val="00F2233A"/>
    <w:rsid w:val="00F2464F"/>
    <w:rsid w:val="00F25DF6"/>
    <w:rsid w:val="00F26360"/>
    <w:rsid w:val="00F37775"/>
    <w:rsid w:val="00F42926"/>
    <w:rsid w:val="00F42CAC"/>
    <w:rsid w:val="00F42F2E"/>
    <w:rsid w:val="00F45411"/>
    <w:rsid w:val="00F46FCE"/>
    <w:rsid w:val="00F4748C"/>
    <w:rsid w:val="00F54907"/>
    <w:rsid w:val="00F56156"/>
    <w:rsid w:val="00F56691"/>
    <w:rsid w:val="00F626B1"/>
    <w:rsid w:val="00F62A1E"/>
    <w:rsid w:val="00F6501E"/>
    <w:rsid w:val="00F6535D"/>
    <w:rsid w:val="00F709AA"/>
    <w:rsid w:val="00F70E05"/>
    <w:rsid w:val="00F7125D"/>
    <w:rsid w:val="00F738DA"/>
    <w:rsid w:val="00F73B48"/>
    <w:rsid w:val="00F752FC"/>
    <w:rsid w:val="00F82FA0"/>
    <w:rsid w:val="00F834B5"/>
    <w:rsid w:val="00F83F60"/>
    <w:rsid w:val="00F85BBC"/>
    <w:rsid w:val="00F86697"/>
    <w:rsid w:val="00F87D90"/>
    <w:rsid w:val="00F92C29"/>
    <w:rsid w:val="00F9453E"/>
    <w:rsid w:val="00F96204"/>
    <w:rsid w:val="00F97DBD"/>
    <w:rsid w:val="00FA0527"/>
    <w:rsid w:val="00FA1A68"/>
    <w:rsid w:val="00FA2874"/>
    <w:rsid w:val="00FA2EEB"/>
    <w:rsid w:val="00FA3D6D"/>
    <w:rsid w:val="00FA4C54"/>
    <w:rsid w:val="00FA6B2F"/>
    <w:rsid w:val="00FA7D74"/>
    <w:rsid w:val="00FB03A8"/>
    <w:rsid w:val="00FB2481"/>
    <w:rsid w:val="00FB650E"/>
    <w:rsid w:val="00FB7525"/>
    <w:rsid w:val="00FC08A3"/>
    <w:rsid w:val="00FC13AC"/>
    <w:rsid w:val="00FC1B7D"/>
    <w:rsid w:val="00FC2D56"/>
    <w:rsid w:val="00FC68C6"/>
    <w:rsid w:val="00FD328A"/>
    <w:rsid w:val="00FD58E8"/>
    <w:rsid w:val="00FE197A"/>
    <w:rsid w:val="00FE318B"/>
    <w:rsid w:val="00FE67DF"/>
    <w:rsid w:val="00FE68E4"/>
    <w:rsid w:val="00FE6C47"/>
    <w:rsid w:val="00FE7FA0"/>
    <w:rsid w:val="00FF116C"/>
    <w:rsid w:val="00FF1259"/>
    <w:rsid w:val="00FF2ABB"/>
    <w:rsid w:val="00FF4EA3"/>
    <w:rsid w:val="00FF5371"/>
    <w:rsid w:val="00FF5A86"/>
    <w:rsid w:val="00FF61B9"/>
    <w:rsid w:val="00FF6215"/>
    <w:rsid w:val="00FF76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7A654"/>
  <w15:docId w15:val="{2B21721E-BB48-4C8E-A90E-D6F20685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04"/>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 w:type="character" w:styleId="Hipervnculovisitado">
    <w:name w:val="FollowedHyperlink"/>
    <w:basedOn w:val="Fuentedeprrafopredeter"/>
    <w:uiPriority w:val="99"/>
    <w:unhideWhenUsed/>
    <w:rsid w:val="003438D2"/>
    <w:rPr>
      <w:color w:val="800080"/>
      <w:u w:val="single"/>
    </w:rPr>
  </w:style>
  <w:style w:type="paragraph" w:customStyle="1" w:styleId="notasnovedades">
    <w:name w:val="notasnovedades"/>
    <w:basedOn w:val="Normal"/>
    <w:rsid w:val="00671B1D"/>
    <w:pPr>
      <w:widowControl/>
      <w:spacing w:before="100" w:beforeAutospacing="1" w:after="100" w:afterAutospacing="1"/>
    </w:pPr>
    <w:rPr>
      <w:sz w:val="24"/>
      <w:szCs w:val="24"/>
      <w:lang w:val="es-ES" w:eastAsia="es-ES"/>
    </w:rPr>
  </w:style>
  <w:style w:type="paragraph" w:customStyle="1" w:styleId="texto8novedades">
    <w:name w:val="texto8novedades"/>
    <w:basedOn w:val="Normal"/>
    <w:rsid w:val="00671B1D"/>
    <w:pPr>
      <w:widowControl/>
      <w:spacing w:before="100" w:beforeAutospacing="1" w:after="100" w:afterAutospacing="1"/>
    </w:pPr>
    <w:rPr>
      <w:sz w:val="24"/>
      <w:szCs w:val="24"/>
      <w:lang w:val="es-ES" w:eastAsia="es-ES"/>
    </w:rPr>
  </w:style>
  <w:style w:type="character" w:customStyle="1" w:styleId="UnresolvedMention">
    <w:name w:val="Unresolved Mention"/>
    <w:basedOn w:val="Fuentedeprrafopredeter"/>
    <w:uiPriority w:val="99"/>
    <w:semiHidden/>
    <w:unhideWhenUsed/>
    <w:rsid w:val="00CE7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78791555">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98113459">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535980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5822238">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469481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58820340">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76976867">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437551">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5191065">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48033617">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511981">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597175429">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3340634">
      <w:bodyDiv w:val="1"/>
      <w:marLeft w:val="0"/>
      <w:marRight w:val="0"/>
      <w:marTop w:val="0"/>
      <w:marBottom w:val="0"/>
      <w:divBdr>
        <w:top w:val="none" w:sz="0" w:space="0" w:color="auto"/>
        <w:left w:val="none" w:sz="0" w:space="0" w:color="auto"/>
        <w:bottom w:val="none" w:sz="0" w:space="0" w:color="auto"/>
        <w:right w:val="none" w:sz="0" w:space="0" w:color="auto"/>
      </w:divBdr>
    </w:div>
    <w:div w:id="603727570">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6136051">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4236010">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0103697">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879589466">
      <w:bodyDiv w:val="1"/>
      <w:marLeft w:val="0"/>
      <w:marRight w:val="0"/>
      <w:marTop w:val="0"/>
      <w:marBottom w:val="0"/>
      <w:divBdr>
        <w:top w:val="none" w:sz="0" w:space="0" w:color="auto"/>
        <w:left w:val="none" w:sz="0" w:space="0" w:color="auto"/>
        <w:bottom w:val="none" w:sz="0" w:space="0" w:color="auto"/>
        <w:right w:val="none" w:sz="0" w:space="0" w:color="auto"/>
      </w:divBdr>
    </w:div>
    <w:div w:id="879628280">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350824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4851194">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60653192">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80883930">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09719564">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3723395">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19639766">
      <w:bodyDiv w:val="1"/>
      <w:marLeft w:val="0"/>
      <w:marRight w:val="0"/>
      <w:marTop w:val="0"/>
      <w:marBottom w:val="0"/>
      <w:divBdr>
        <w:top w:val="none" w:sz="0" w:space="0" w:color="auto"/>
        <w:left w:val="none" w:sz="0" w:space="0" w:color="auto"/>
        <w:bottom w:val="none" w:sz="0" w:space="0" w:color="auto"/>
        <w:right w:val="none" w:sz="0" w:space="0" w:color="auto"/>
      </w:divBdr>
    </w:div>
    <w:div w:id="1120100957">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71797315">
      <w:bodyDiv w:val="1"/>
      <w:marLeft w:val="0"/>
      <w:marRight w:val="0"/>
      <w:marTop w:val="0"/>
      <w:marBottom w:val="0"/>
      <w:divBdr>
        <w:top w:val="none" w:sz="0" w:space="0" w:color="auto"/>
        <w:left w:val="none" w:sz="0" w:space="0" w:color="auto"/>
        <w:bottom w:val="none" w:sz="0" w:space="0" w:color="auto"/>
        <w:right w:val="none" w:sz="0" w:space="0" w:color="auto"/>
      </w:divBdr>
    </w:div>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2764310">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51567193">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6738579">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53474898">
      <w:bodyDiv w:val="1"/>
      <w:marLeft w:val="0"/>
      <w:marRight w:val="0"/>
      <w:marTop w:val="0"/>
      <w:marBottom w:val="0"/>
      <w:divBdr>
        <w:top w:val="none" w:sz="0" w:space="0" w:color="auto"/>
        <w:left w:val="none" w:sz="0" w:space="0" w:color="auto"/>
        <w:bottom w:val="none" w:sz="0" w:space="0" w:color="auto"/>
        <w:right w:val="none" w:sz="0" w:space="0" w:color="auto"/>
      </w:divBdr>
    </w:div>
    <w:div w:id="1455556605">
      <w:bodyDiv w:val="1"/>
      <w:marLeft w:val="0"/>
      <w:marRight w:val="0"/>
      <w:marTop w:val="0"/>
      <w:marBottom w:val="0"/>
      <w:divBdr>
        <w:top w:val="none" w:sz="0" w:space="0" w:color="auto"/>
        <w:left w:val="none" w:sz="0" w:space="0" w:color="auto"/>
        <w:bottom w:val="none" w:sz="0" w:space="0" w:color="auto"/>
        <w:right w:val="none" w:sz="0" w:space="0" w:color="auto"/>
      </w:divBdr>
    </w:div>
    <w:div w:id="1468669134">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20698094">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6551711">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58513657">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597640943">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08002998">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4120498">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789161785">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7324209">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3180029">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5526029">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5571170">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0429797">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095321009">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86DA4-70C0-47F7-9083-ECE5AD11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1100</Words>
  <Characters>5875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6962</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Paola Fontao</cp:lastModifiedBy>
  <cp:revision>63</cp:revision>
  <cp:lastPrinted>2020-01-29T21:06:00Z</cp:lastPrinted>
  <dcterms:created xsi:type="dcterms:W3CDTF">2023-01-06T17:18:00Z</dcterms:created>
  <dcterms:modified xsi:type="dcterms:W3CDTF">2023-09-19T17:57:00Z</dcterms:modified>
</cp:coreProperties>
</file>