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E7" w:rsidRPr="00311E47" w:rsidRDefault="006407E7" w:rsidP="00D3742B">
      <w:pPr>
        <w:ind w:right="1043"/>
        <w:rPr>
          <w:b/>
          <w:sz w:val="28"/>
          <w:u w:val="single"/>
        </w:rPr>
      </w:pPr>
    </w:p>
    <w:p w:rsidR="00311E47" w:rsidRDefault="00D3742B" w:rsidP="00311E47">
      <w:pPr>
        <w:ind w:right="1043"/>
        <w:rPr>
          <w:b/>
          <w:sz w:val="28"/>
          <w:u w:val="single"/>
        </w:rPr>
      </w:pPr>
      <w:r w:rsidRPr="00311E47">
        <w:rPr>
          <w:b/>
          <w:sz w:val="28"/>
          <w:u w:val="single"/>
        </w:rPr>
        <w:t>CIRCULAR IMPOSITIVA NRO.</w:t>
      </w:r>
      <w:r w:rsidR="00BC7AA5">
        <w:rPr>
          <w:b/>
          <w:sz w:val="28"/>
          <w:u w:val="single"/>
        </w:rPr>
        <w:t>1165</w:t>
      </w:r>
      <w:bookmarkStart w:id="0" w:name="_GoBack"/>
      <w:bookmarkEnd w:id="0"/>
    </w:p>
    <w:p w:rsidR="00311E47" w:rsidRPr="00311E47" w:rsidRDefault="00311E47" w:rsidP="00311E47">
      <w:pPr>
        <w:ind w:right="50"/>
        <w:jc w:val="both"/>
        <w:rPr>
          <w:b/>
          <w:i/>
        </w:rPr>
      </w:pPr>
    </w:p>
    <w:p w:rsidR="00311E47" w:rsidRPr="00311E47" w:rsidRDefault="00E16F95" w:rsidP="00311E47">
      <w:pPr>
        <w:ind w:right="50"/>
        <w:jc w:val="both"/>
        <w:rPr>
          <w:b/>
          <w:i/>
        </w:rPr>
      </w:pPr>
      <w:r w:rsidRPr="00311E47">
        <w:rPr>
          <w:b/>
          <w:i/>
        </w:rPr>
        <w:t>Resolución General (</w:t>
      </w:r>
      <w:r w:rsidR="00311E47">
        <w:rPr>
          <w:b/>
          <w:i/>
        </w:rPr>
        <w:t>Tucumán</w:t>
      </w:r>
      <w:r w:rsidRPr="00311E47">
        <w:rPr>
          <w:b/>
          <w:i/>
        </w:rPr>
        <w:t xml:space="preserve">) </w:t>
      </w:r>
      <w:r w:rsidR="00311E47">
        <w:rPr>
          <w:b/>
          <w:i/>
        </w:rPr>
        <w:t>02/2023</w:t>
      </w:r>
    </w:p>
    <w:p w:rsidR="00311E47" w:rsidRPr="00311E47" w:rsidRDefault="00D3742B" w:rsidP="00311E47">
      <w:pPr>
        <w:ind w:right="50"/>
        <w:jc w:val="both"/>
        <w:rPr>
          <w:b/>
          <w:i/>
        </w:rPr>
      </w:pPr>
      <w:r w:rsidRPr="00311E47">
        <w:rPr>
          <w:b/>
          <w:i/>
        </w:rPr>
        <w:t xml:space="preserve">Fecha de Norma: </w:t>
      </w:r>
      <w:r w:rsidR="00311E47" w:rsidRPr="00311E47">
        <w:rPr>
          <w:b/>
          <w:i/>
        </w:rPr>
        <w:t>11/01/2023</w:t>
      </w:r>
    </w:p>
    <w:p w:rsidR="00D3742B" w:rsidRDefault="00D3742B" w:rsidP="00311E47">
      <w:pPr>
        <w:ind w:right="50"/>
        <w:jc w:val="both"/>
        <w:rPr>
          <w:b/>
          <w:i/>
        </w:rPr>
      </w:pPr>
      <w:r w:rsidRPr="00311E47">
        <w:rPr>
          <w:b/>
          <w:i/>
        </w:rPr>
        <w:t xml:space="preserve">Boletín Oficial </w:t>
      </w:r>
      <w:r w:rsidR="00311E47" w:rsidRPr="00311E47">
        <w:rPr>
          <w:b/>
          <w:i/>
        </w:rPr>
        <w:t>12/01/2023</w:t>
      </w:r>
    </w:p>
    <w:p w:rsidR="00311E47" w:rsidRDefault="00311E47" w:rsidP="00311E47">
      <w:pPr>
        <w:ind w:right="50"/>
        <w:jc w:val="both"/>
        <w:rPr>
          <w:b/>
          <w:i/>
        </w:rPr>
      </w:pPr>
    </w:p>
    <w:p w:rsidR="00311E47" w:rsidRPr="00311E47" w:rsidRDefault="00311E47" w:rsidP="00311E47">
      <w:pPr>
        <w:ind w:right="50"/>
        <w:jc w:val="both"/>
        <w:rPr>
          <w:b/>
          <w:i/>
        </w:rPr>
      </w:pPr>
      <w:r w:rsidRPr="00311E47">
        <w:rPr>
          <w:b/>
          <w:i/>
        </w:rPr>
        <w:t>Resolución General (</w:t>
      </w:r>
      <w:r>
        <w:rPr>
          <w:b/>
          <w:i/>
        </w:rPr>
        <w:t>Tucumán</w:t>
      </w:r>
      <w:r w:rsidRPr="00311E47">
        <w:rPr>
          <w:b/>
          <w:i/>
        </w:rPr>
        <w:t xml:space="preserve">) </w:t>
      </w:r>
      <w:r>
        <w:rPr>
          <w:b/>
          <w:i/>
        </w:rPr>
        <w:t>09/2023</w:t>
      </w:r>
    </w:p>
    <w:p w:rsidR="00311E47" w:rsidRPr="00311E47" w:rsidRDefault="00311E47" w:rsidP="00311E47">
      <w:pPr>
        <w:ind w:right="50"/>
        <w:jc w:val="both"/>
        <w:rPr>
          <w:b/>
          <w:i/>
        </w:rPr>
      </w:pPr>
      <w:r w:rsidRPr="00311E47">
        <w:rPr>
          <w:b/>
          <w:i/>
        </w:rPr>
        <w:t>Fecha de Norma: 27/01/2023</w:t>
      </w:r>
    </w:p>
    <w:p w:rsidR="00311E47" w:rsidRPr="00311E47" w:rsidRDefault="00311E47" w:rsidP="00311E47">
      <w:pPr>
        <w:ind w:right="50"/>
        <w:jc w:val="both"/>
        <w:rPr>
          <w:b/>
          <w:i/>
        </w:rPr>
      </w:pPr>
      <w:r w:rsidRPr="00311E47">
        <w:rPr>
          <w:b/>
          <w:i/>
        </w:rPr>
        <w:t>Boletín Oficial 31/01/2023</w:t>
      </w:r>
    </w:p>
    <w:p w:rsidR="00D3742B" w:rsidRPr="00311E47" w:rsidRDefault="00D3742B" w:rsidP="00311E47">
      <w:pPr>
        <w:ind w:right="50"/>
        <w:jc w:val="both"/>
        <w:rPr>
          <w:b/>
          <w:i/>
        </w:rPr>
      </w:pPr>
    </w:p>
    <w:p w:rsidR="00F032F1" w:rsidRPr="00311E47" w:rsidRDefault="00F032F1" w:rsidP="00D3742B">
      <w:pPr>
        <w:ind w:right="50"/>
        <w:jc w:val="both"/>
        <w:rPr>
          <w:b/>
          <w:i/>
        </w:rPr>
      </w:pPr>
    </w:p>
    <w:p w:rsidR="00FC3695" w:rsidRPr="00311E47" w:rsidRDefault="00A37630" w:rsidP="00A92D07">
      <w:pPr>
        <w:ind w:right="50"/>
        <w:jc w:val="both"/>
        <w:rPr>
          <w:b/>
          <w:i/>
          <w:u w:val="single"/>
        </w:rPr>
      </w:pPr>
      <w:r>
        <w:rPr>
          <w:b/>
          <w:bCs/>
          <w:u w:val="single"/>
        </w:rPr>
        <w:t>Tucumán. Agentes de Retención y Percepción de Ingresos Brutos. Modificaciones</w:t>
      </w:r>
    </w:p>
    <w:p w:rsidR="001E41D9" w:rsidRPr="00311E47" w:rsidRDefault="001E41D9" w:rsidP="00A92D07">
      <w:pPr>
        <w:ind w:right="50"/>
        <w:jc w:val="both"/>
        <w:rPr>
          <w:b/>
          <w:i/>
          <w:u w:val="single"/>
        </w:rPr>
      </w:pPr>
    </w:p>
    <w:p w:rsidR="00C30657" w:rsidRPr="00311E47" w:rsidRDefault="00C30657" w:rsidP="008116BE">
      <w:pPr>
        <w:ind w:right="50"/>
        <w:jc w:val="both"/>
        <w:rPr>
          <w:b/>
          <w:i/>
          <w:u w:val="single"/>
        </w:rPr>
      </w:pPr>
    </w:p>
    <w:p w:rsidR="00A37630" w:rsidRDefault="00B820A8" w:rsidP="00B820A8">
      <w:pPr>
        <w:jc w:val="both"/>
        <w:rPr>
          <w:lang w:val="es-AR"/>
        </w:rPr>
      </w:pPr>
      <w:r w:rsidRPr="00311E47">
        <w:rPr>
          <w:lang w:val="es-AR"/>
        </w:rPr>
        <w:t xml:space="preserve">La </w:t>
      </w:r>
      <w:r w:rsidR="00A37630">
        <w:rPr>
          <w:lang w:val="es-AR"/>
        </w:rPr>
        <w:t xml:space="preserve">Dirección General de Rentas de Tucumán, por medio de la RG </w:t>
      </w:r>
      <w:r w:rsidR="00A37630" w:rsidRPr="00A37630">
        <w:rPr>
          <w:lang w:val="es-AR"/>
        </w:rPr>
        <w:t>2/2023 establec</w:t>
      </w:r>
      <w:r w:rsidR="00A37630">
        <w:rPr>
          <w:lang w:val="es-AR"/>
        </w:rPr>
        <w:t>ió</w:t>
      </w:r>
      <w:r w:rsidR="00A37630" w:rsidRPr="00A37630">
        <w:rPr>
          <w:lang w:val="es-AR"/>
        </w:rPr>
        <w:t xml:space="preserve"> modificaciones a las RG</w:t>
      </w:r>
      <w:r w:rsidR="00A37630">
        <w:rPr>
          <w:lang w:val="es-AR"/>
        </w:rPr>
        <w:t xml:space="preserve"> </w:t>
      </w:r>
      <w:r w:rsidR="00A37630" w:rsidRPr="00A37630">
        <w:rPr>
          <w:lang w:val="es-AR"/>
        </w:rPr>
        <w:t>(DGR) 86/2000 y RG (DGR) 23/2002, regímenes generales</w:t>
      </w:r>
      <w:r w:rsidR="00A37630">
        <w:rPr>
          <w:lang w:val="es-AR"/>
        </w:rPr>
        <w:t xml:space="preserve"> </w:t>
      </w:r>
      <w:r w:rsidR="00A37630" w:rsidRPr="00A37630">
        <w:rPr>
          <w:lang w:val="es-AR"/>
        </w:rPr>
        <w:t xml:space="preserve">de percepción y retención </w:t>
      </w:r>
      <w:r w:rsidR="00A37630">
        <w:rPr>
          <w:lang w:val="es-AR"/>
        </w:rPr>
        <w:t>respectivamente</w:t>
      </w:r>
      <w:r w:rsidR="00A37630" w:rsidRPr="00A37630">
        <w:rPr>
          <w:lang w:val="es-AR"/>
        </w:rPr>
        <w:t>, significando en cada</w:t>
      </w:r>
      <w:r w:rsidR="00A37630">
        <w:rPr>
          <w:lang w:val="es-AR"/>
        </w:rPr>
        <w:t xml:space="preserve"> </w:t>
      </w:r>
      <w:r w:rsidR="00A37630" w:rsidRPr="00A37630">
        <w:rPr>
          <w:lang w:val="es-AR"/>
        </w:rPr>
        <w:t>caso la siguiente modificación:</w:t>
      </w:r>
    </w:p>
    <w:p w:rsidR="00A37630" w:rsidRDefault="00A37630" w:rsidP="00B820A8">
      <w:pPr>
        <w:jc w:val="both"/>
        <w:rPr>
          <w:lang w:val="es-AR"/>
        </w:rPr>
      </w:pPr>
    </w:p>
    <w:p w:rsidR="006B1C4A" w:rsidRDefault="006B1C4A" w:rsidP="00B820A8">
      <w:pPr>
        <w:jc w:val="both"/>
        <w:rPr>
          <w:lang w:val="es-AR"/>
        </w:rPr>
      </w:pPr>
    </w:p>
    <w:p w:rsidR="00A37630" w:rsidRDefault="00A37630" w:rsidP="00B820A8">
      <w:pPr>
        <w:jc w:val="both"/>
        <w:rPr>
          <w:lang w:val="es-AR"/>
        </w:rPr>
      </w:pPr>
      <w:r>
        <w:rPr>
          <w:b/>
          <w:bCs/>
          <w:u w:val="single"/>
        </w:rPr>
        <w:t>Agentes de Percepción</w:t>
      </w:r>
    </w:p>
    <w:p w:rsidR="00A37630" w:rsidRDefault="00A37630" w:rsidP="00B820A8">
      <w:pPr>
        <w:jc w:val="both"/>
        <w:rPr>
          <w:lang w:val="es-AR"/>
        </w:rPr>
      </w:pPr>
    </w:p>
    <w:tbl>
      <w:tblPr>
        <w:tblStyle w:val="Tablaconcuadrcula"/>
        <w:tblW w:w="0" w:type="auto"/>
        <w:tblLook w:val="04A0" w:firstRow="1" w:lastRow="0" w:firstColumn="1" w:lastColumn="0" w:noHBand="0" w:noVBand="1"/>
      </w:tblPr>
      <w:tblGrid>
        <w:gridCol w:w="4605"/>
        <w:gridCol w:w="4606"/>
      </w:tblGrid>
      <w:tr w:rsidR="00A37630" w:rsidRPr="00A37630" w:rsidTr="00A37630">
        <w:trPr>
          <w:trHeight w:val="794"/>
        </w:trPr>
        <w:tc>
          <w:tcPr>
            <w:tcW w:w="4605" w:type="dxa"/>
            <w:vAlign w:val="center"/>
          </w:tcPr>
          <w:p w:rsidR="00A37630" w:rsidRPr="00A37630" w:rsidRDefault="00A37630" w:rsidP="00A37630">
            <w:pPr>
              <w:pStyle w:val="Default"/>
              <w:rPr>
                <w:rFonts w:ascii="Times New Roman" w:hAnsi="Times New Roman" w:cs="Times New Roman"/>
                <w:szCs w:val="22"/>
              </w:rPr>
            </w:pPr>
            <w:r w:rsidRPr="00A37630">
              <w:rPr>
                <w:rFonts w:ascii="Times New Roman" w:hAnsi="Times New Roman" w:cs="Times New Roman"/>
                <w:b/>
                <w:bCs/>
                <w:szCs w:val="22"/>
              </w:rPr>
              <w:t xml:space="preserve">Texto nuevo </w:t>
            </w:r>
            <w:r w:rsidRPr="00A37630">
              <w:rPr>
                <w:rFonts w:ascii="Times New Roman" w:hAnsi="Times New Roman" w:cs="Times New Roman"/>
                <w:szCs w:val="22"/>
              </w:rPr>
              <w:t>segundo párrafo del artículo 6 de la RG (DGR) 86/00:</w:t>
            </w:r>
          </w:p>
        </w:tc>
        <w:tc>
          <w:tcPr>
            <w:tcW w:w="4606" w:type="dxa"/>
            <w:vAlign w:val="center"/>
          </w:tcPr>
          <w:p w:rsidR="00A37630" w:rsidRPr="00A37630" w:rsidRDefault="00A37630" w:rsidP="00A37630">
            <w:pPr>
              <w:pStyle w:val="Default"/>
              <w:rPr>
                <w:rFonts w:ascii="Times New Roman" w:hAnsi="Times New Roman" w:cs="Times New Roman"/>
                <w:szCs w:val="22"/>
              </w:rPr>
            </w:pPr>
            <w:r w:rsidRPr="00A37630">
              <w:rPr>
                <w:rFonts w:ascii="Times New Roman" w:hAnsi="Times New Roman" w:cs="Times New Roman"/>
                <w:b/>
                <w:bCs/>
                <w:szCs w:val="22"/>
              </w:rPr>
              <w:t xml:space="preserve">Texto anterior </w:t>
            </w:r>
            <w:r w:rsidRPr="00A37630">
              <w:rPr>
                <w:rFonts w:ascii="Times New Roman" w:hAnsi="Times New Roman" w:cs="Times New Roman"/>
                <w:szCs w:val="22"/>
              </w:rPr>
              <w:t>segundo párrafo del artículo 6 de la RG (DGR) 86/00:</w:t>
            </w:r>
          </w:p>
        </w:tc>
      </w:tr>
      <w:tr w:rsidR="00A37630" w:rsidRPr="00A37630" w:rsidTr="00A37630">
        <w:tc>
          <w:tcPr>
            <w:tcW w:w="4605" w:type="dxa"/>
          </w:tcPr>
          <w:p w:rsidR="00A37630" w:rsidRPr="003276BC" w:rsidRDefault="00A37630" w:rsidP="00A37630">
            <w:pPr>
              <w:pStyle w:val="Default"/>
              <w:jc w:val="both"/>
              <w:rPr>
                <w:rFonts w:ascii="Times New Roman" w:hAnsi="Times New Roman" w:cs="Times New Roman"/>
                <w:i/>
                <w:iCs/>
                <w:szCs w:val="22"/>
              </w:rPr>
            </w:pPr>
            <w:r w:rsidRPr="003276BC">
              <w:rPr>
                <w:rFonts w:ascii="Times New Roman" w:hAnsi="Times New Roman" w:cs="Times New Roman"/>
                <w:i/>
                <w:szCs w:val="22"/>
              </w:rPr>
              <w:t>“</w:t>
            </w:r>
            <w:r w:rsidRPr="003276BC">
              <w:rPr>
                <w:rFonts w:ascii="Times New Roman" w:hAnsi="Times New Roman" w:cs="Times New Roman"/>
                <w:i/>
                <w:iCs/>
                <w:szCs w:val="22"/>
              </w:rPr>
              <w:t xml:space="preserve">Cuando el sujeto pasible de percepción </w:t>
            </w:r>
            <w:r w:rsidRPr="003276BC">
              <w:rPr>
                <w:rFonts w:ascii="Times New Roman" w:hAnsi="Times New Roman" w:cs="Times New Roman"/>
                <w:b/>
                <w:bCs/>
                <w:i/>
                <w:iCs/>
                <w:szCs w:val="22"/>
              </w:rPr>
              <w:t xml:space="preserve">no acredite inscripción </w:t>
            </w:r>
            <w:r w:rsidRPr="003276BC">
              <w:rPr>
                <w:rFonts w:ascii="Times New Roman" w:hAnsi="Times New Roman" w:cs="Times New Roman"/>
                <w:i/>
                <w:iCs/>
                <w:szCs w:val="22"/>
              </w:rPr>
              <w:t xml:space="preserve">en el Impuesto sobre los Ingresos Brutos en los términos establecidos por la RG (DGR) N° 176/10 y sus modificatorias, </w:t>
            </w:r>
            <w:r w:rsidRPr="003276BC">
              <w:rPr>
                <w:rFonts w:ascii="Times New Roman" w:hAnsi="Times New Roman" w:cs="Times New Roman"/>
                <w:b/>
                <w:bCs/>
                <w:i/>
                <w:iCs/>
                <w:szCs w:val="22"/>
              </w:rPr>
              <w:t xml:space="preserve">o cuando el coeficiente consignado a su respecto en la nómina a la cual se refiere la RG(DGR) 116/10 y sus modificatorias sea igual a uno </w:t>
            </w:r>
            <w:r w:rsidRPr="003276BC">
              <w:rPr>
                <w:rFonts w:ascii="Times New Roman" w:hAnsi="Times New Roman" w:cs="Times New Roman"/>
                <w:i/>
                <w:iCs/>
                <w:szCs w:val="22"/>
              </w:rPr>
              <w:t xml:space="preserve">la referida percepción se practicará </w:t>
            </w:r>
            <w:r w:rsidRPr="003276BC">
              <w:rPr>
                <w:rFonts w:ascii="Times New Roman" w:hAnsi="Times New Roman" w:cs="Times New Roman"/>
                <w:b/>
                <w:bCs/>
                <w:i/>
                <w:szCs w:val="22"/>
              </w:rPr>
              <w:t xml:space="preserve">sobre el importe total facturado </w:t>
            </w:r>
            <w:r w:rsidRPr="003276BC">
              <w:rPr>
                <w:rFonts w:ascii="Times New Roman" w:hAnsi="Times New Roman" w:cs="Times New Roman"/>
                <w:i/>
                <w:iCs/>
                <w:szCs w:val="22"/>
              </w:rPr>
              <w:t>sin detraer ni deducir suma alguna, teniéndose presente a tales efectos solo lo dispuesto por la RG (DGR) Nº190/09, no rigiendo en estos casos los topes mínimos establecidos a los efectos de practicar la percepción.”</w:t>
            </w:r>
          </w:p>
          <w:p w:rsidR="00A37630" w:rsidRPr="003276BC" w:rsidRDefault="00A37630" w:rsidP="00A37630">
            <w:pPr>
              <w:pStyle w:val="Default"/>
              <w:jc w:val="both"/>
              <w:rPr>
                <w:rFonts w:ascii="Times New Roman" w:hAnsi="Times New Roman" w:cs="Times New Roman"/>
                <w:i/>
                <w:szCs w:val="22"/>
              </w:rPr>
            </w:pPr>
          </w:p>
        </w:tc>
        <w:tc>
          <w:tcPr>
            <w:tcW w:w="4606" w:type="dxa"/>
          </w:tcPr>
          <w:p w:rsidR="00A37630" w:rsidRPr="003276BC" w:rsidRDefault="00A37630" w:rsidP="00A37630">
            <w:pPr>
              <w:pStyle w:val="Default"/>
              <w:jc w:val="both"/>
              <w:rPr>
                <w:rFonts w:ascii="Times New Roman" w:hAnsi="Times New Roman" w:cs="Times New Roman"/>
                <w:i/>
                <w:szCs w:val="22"/>
              </w:rPr>
            </w:pPr>
            <w:r w:rsidRPr="003276BC">
              <w:rPr>
                <w:rFonts w:ascii="Times New Roman" w:hAnsi="Times New Roman" w:cs="Times New Roman"/>
                <w:i/>
                <w:szCs w:val="22"/>
              </w:rPr>
              <w:t>“</w:t>
            </w:r>
            <w:r w:rsidRPr="003276BC">
              <w:rPr>
                <w:rFonts w:ascii="Times New Roman" w:hAnsi="Times New Roman" w:cs="Times New Roman"/>
                <w:i/>
                <w:iCs/>
                <w:szCs w:val="22"/>
              </w:rPr>
              <w:t>Cuando el sujeto pasible de percepción no acredite inscripción en el Impuesto sobre los Ingresos Brutos en los términos establecidos por la RG (DGR) 176/2010 y sus modificatorias, la referida percepción se practicará sobre el importe total facturado sin detraer ni deducir suma alguna, teniéndose presente a tales efectos solo lo dispuesto por la RG (DGR) 190/2009.”</w:t>
            </w:r>
          </w:p>
        </w:tc>
      </w:tr>
    </w:tbl>
    <w:p w:rsidR="00A37630" w:rsidRDefault="00A37630" w:rsidP="00B820A8">
      <w:pPr>
        <w:jc w:val="both"/>
        <w:rPr>
          <w:lang w:val="es-AR"/>
        </w:rPr>
      </w:pPr>
    </w:p>
    <w:p w:rsidR="006B1C4A" w:rsidRDefault="006B1C4A" w:rsidP="00B820A8">
      <w:pPr>
        <w:jc w:val="both"/>
        <w:rPr>
          <w:lang w:val="es-AR"/>
        </w:rPr>
      </w:pPr>
    </w:p>
    <w:p w:rsidR="00A37630" w:rsidRDefault="00A37630" w:rsidP="00B820A8">
      <w:pPr>
        <w:jc w:val="both"/>
        <w:rPr>
          <w:lang w:val="es-AR"/>
        </w:rPr>
      </w:pPr>
      <w:r>
        <w:rPr>
          <w:b/>
          <w:bCs/>
          <w:u w:val="single"/>
        </w:rPr>
        <w:t>Agentes de Retención</w:t>
      </w:r>
    </w:p>
    <w:p w:rsidR="00A37630" w:rsidRDefault="00A37630" w:rsidP="00B820A8">
      <w:pPr>
        <w:jc w:val="both"/>
        <w:rPr>
          <w:lang w:val="es-AR"/>
        </w:rPr>
      </w:pPr>
    </w:p>
    <w:tbl>
      <w:tblPr>
        <w:tblStyle w:val="Tablaconcuadrcula"/>
        <w:tblW w:w="0" w:type="auto"/>
        <w:tblLook w:val="04A0" w:firstRow="1" w:lastRow="0" w:firstColumn="1" w:lastColumn="0" w:noHBand="0" w:noVBand="1"/>
      </w:tblPr>
      <w:tblGrid>
        <w:gridCol w:w="4605"/>
        <w:gridCol w:w="4606"/>
      </w:tblGrid>
      <w:tr w:rsidR="00A37630" w:rsidRPr="00A37630" w:rsidTr="009D4215">
        <w:trPr>
          <w:trHeight w:val="794"/>
        </w:trPr>
        <w:tc>
          <w:tcPr>
            <w:tcW w:w="4605" w:type="dxa"/>
            <w:vAlign w:val="center"/>
          </w:tcPr>
          <w:p w:rsidR="00A37630" w:rsidRPr="00A37630" w:rsidRDefault="00A37630" w:rsidP="009D4215">
            <w:pPr>
              <w:pStyle w:val="Default"/>
              <w:rPr>
                <w:rFonts w:ascii="Times New Roman" w:hAnsi="Times New Roman" w:cs="Times New Roman"/>
                <w:szCs w:val="22"/>
              </w:rPr>
            </w:pPr>
            <w:r w:rsidRPr="00A37630">
              <w:rPr>
                <w:rFonts w:ascii="Times New Roman" w:hAnsi="Times New Roman" w:cs="Times New Roman"/>
                <w:b/>
                <w:bCs/>
                <w:szCs w:val="22"/>
              </w:rPr>
              <w:t xml:space="preserve">Texto nuevo </w:t>
            </w:r>
            <w:r w:rsidRPr="00A37630">
              <w:rPr>
                <w:rFonts w:ascii="Times New Roman" w:hAnsi="Times New Roman" w:cs="Times New Roman"/>
                <w:szCs w:val="22"/>
              </w:rPr>
              <w:t>RG (DGR) 23/02 tercer</w:t>
            </w:r>
            <w:r>
              <w:rPr>
                <w:rFonts w:ascii="Times New Roman" w:hAnsi="Times New Roman" w:cs="Times New Roman"/>
                <w:szCs w:val="22"/>
              </w:rPr>
              <w:t xml:space="preserve"> </w:t>
            </w:r>
            <w:r w:rsidRPr="00A37630">
              <w:rPr>
                <w:rFonts w:ascii="Times New Roman" w:hAnsi="Times New Roman" w:cs="Times New Roman"/>
                <w:szCs w:val="22"/>
              </w:rPr>
              <w:t>párrafo del artículo 7:</w:t>
            </w:r>
          </w:p>
        </w:tc>
        <w:tc>
          <w:tcPr>
            <w:tcW w:w="4606" w:type="dxa"/>
            <w:vAlign w:val="center"/>
          </w:tcPr>
          <w:p w:rsidR="00A37630" w:rsidRPr="00A37630" w:rsidRDefault="00A37630" w:rsidP="00A37630">
            <w:pPr>
              <w:pStyle w:val="Default"/>
              <w:rPr>
                <w:rFonts w:ascii="Times New Roman" w:hAnsi="Times New Roman" w:cs="Times New Roman"/>
                <w:szCs w:val="22"/>
              </w:rPr>
            </w:pPr>
            <w:r w:rsidRPr="00A37630">
              <w:rPr>
                <w:rFonts w:ascii="Times New Roman" w:hAnsi="Times New Roman" w:cs="Times New Roman"/>
                <w:b/>
                <w:bCs/>
                <w:szCs w:val="22"/>
              </w:rPr>
              <w:t xml:space="preserve">Texto anterior </w:t>
            </w:r>
            <w:r w:rsidRPr="00A37630">
              <w:rPr>
                <w:rFonts w:ascii="Times New Roman" w:hAnsi="Times New Roman" w:cs="Times New Roman"/>
                <w:bCs/>
                <w:szCs w:val="22"/>
              </w:rPr>
              <w:t>RG (DGR) 23/02 tercer</w:t>
            </w:r>
            <w:r>
              <w:rPr>
                <w:rFonts w:ascii="Times New Roman" w:hAnsi="Times New Roman" w:cs="Times New Roman"/>
                <w:bCs/>
                <w:szCs w:val="22"/>
              </w:rPr>
              <w:t xml:space="preserve"> </w:t>
            </w:r>
            <w:r w:rsidRPr="00A37630">
              <w:rPr>
                <w:rFonts w:ascii="Times New Roman" w:hAnsi="Times New Roman" w:cs="Times New Roman"/>
                <w:bCs/>
                <w:szCs w:val="22"/>
              </w:rPr>
              <w:t>párrafo del artículo 7:</w:t>
            </w:r>
          </w:p>
        </w:tc>
      </w:tr>
      <w:tr w:rsidR="00A37630" w:rsidRPr="00A37630" w:rsidTr="009D4215">
        <w:tc>
          <w:tcPr>
            <w:tcW w:w="4605" w:type="dxa"/>
          </w:tcPr>
          <w:p w:rsidR="007C0C01" w:rsidRPr="00595F97" w:rsidRDefault="007C0C01" w:rsidP="007C0C01">
            <w:pPr>
              <w:pStyle w:val="Default"/>
              <w:jc w:val="both"/>
              <w:rPr>
                <w:rFonts w:ascii="Times New Roman" w:hAnsi="Times New Roman" w:cs="Times New Roman"/>
                <w:i/>
                <w:szCs w:val="22"/>
              </w:rPr>
            </w:pPr>
            <w:r w:rsidRPr="00595F97">
              <w:rPr>
                <w:rFonts w:ascii="Times New Roman" w:hAnsi="Times New Roman" w:cs="Times New Roman"/>
                <w:i/>
                <w:szCs w:val="22"/>
              </w:rPr>
              <w:t>“</w:t>
            </w:r>
            <w:r w:rsidRPr="00595F97">
              <w:rPr>
                <w:rFonts w:ascii="Times New Roman" w:hAnsi="Times New Roman" w:cs="Times New Roman"/>
                <w:b/>
                <w:i/>
                <w:szCs w:val="22"/>
              </w:rPr>
              <w:t>Cuando el coeficiente consignado en dicha</w:t>
            </w:r>
            <w:r w:rsidR="00595F97" w:rsidRPr="00595F97">
              <w:rPr>
                <w:rFonts w:ascii="Times New Roman" w:hAnsi="Times New Roman" w:cs="Times New Roman"/>
                <w:b/>
                <w:i/>
                <w:szCs w:val="22"/>
              </w:rPr>
              <w:t xml:space="preserve"> </w:t>
            </w:r>
            <w:r w:rsidRPr="00595F97">
              <w:rPr>
                <w:rFonts w:ascii="Times New Roman" w:hAnsi="Times New Roman" w:cs="Times New Roman"/>
                <w:b/>
                <w:i/>
                <w:szCs w:val="22"/>
              </w:rPr>
              <w:t>nómina sea igual a uno (1), la retención se</w:t>
            </w:r>
            <w:r w:rsidR="00595F97" w:rsidRPr="00595F97">
              <w:rPr>
                <w:rFonts w:ascii="Times New Roman" w:hAnsi="Times New Roman" w:cs="Times New Roman"/>
                <w:b/>
                <w:i/>
                <w:szCs w:val="22"/>
              </w:rPr>
              <w:t xml:space="preserve"> </w:t>
            </w:r>
            <w:r w:rsidRPr="00595F97">
              <w:rPr>
                <w:rFonts w:ascii="Times New Roman" w:hAnsi="Times New Roman" w:cs="Times New Roman"/>
                <w:b/>
                <w:i/>
                <w:szCs w:val="22"/>
              </w:rPr>
              <w:t>practicará siempre sobre el importe bruto</w:t>
            </w:r>
            <w:r w:rsidR="00595F97" w:rsidRPr="00595F97">
              <w:rPr>
                <w:rFonts w:ascii="Times New Roman" w:hAnsi="Times New Roman" w:cs="Times New Roman"/>
                <w:b/>
                <w:i/>
                <w:szCs w:val="22"/>
              </w:rPr>
              <w:t xml:space="preserve"> </w:t>
            </w:r>
            <w:r w:rsidRPr="00595F97">
              <w:rPr>
                <w:rFonts w:ascii="Times New Roman" w:hAnsi="Times New Roman" w:cs="Times New Roman"/>
                <w:b/>
                <w:i/>
                <w:szCs w:val="22"/>
              </w:rPr>
              <w:t xml:space="preserve">de </w:t>
            </w:r>
            <w:r w:rsidRPr="00595F97">
              <w:rPr>
                <w:rFonts w:ascii="Times New Roman" w:hAnsi="Times New Roman" w:cs="Times New Roman"/>
                <w:b/>
                <w:i/>
                <w:szCs w:val="22"/>
              </w:rPr>
              <w:lastRenderedPageBreak/>
              <w:t>cada pago que se efectúe sin deducción</w:t>
            </w:r>
            <w:r w:rsidR="00595F97" w:rsidRPr="00595F97">
              <w:rPr>
                <w:rFonts w:ascii="Times New Roman" w:hAnsi="Times New Roman" w:cs="Times New Roman"/>
                <w:b/>
                <w:i/>
                <w:szCs w:val="22"/>
              </w:rPr>
              <w:t xml:space="preserve"> </w:t>
            </w:r>
            <w:r w:rsidRPr="00595F97">
              <w:rPr>
                <w:rFonts w:ascii="Times New Roman" w:hAnsi="Times New Roman" w:cs="Times New Roman"/>
                <w:b/>
                <w:i/>
                <w:szCs w:val="22"/>
              </w:rPr>
              <w:t>alguna.</w:t>
            </w:r>
            <w:r w:rsidRPr="00595F97">
              <w:rPr>
                <w:rFonts w:ascii="Times New Roman" w:hAnsi="Times New Roman" w:cs="Times New Roman"/>
                <w:i/>
                <w:szCs w:val="22"/>
              </w:rPr>
              <w:t xml:space="preserve"> En los casos en que dicho</w:t>
            </w:r>
            <w:r w:rsidR="00595F97" w:rsidRPr="00595F97">
              <w:rPr>
                <w:rFonts w:ascii="Times New Roman" w:hAnsi="Times New Roman" w:cs="Times New Roman"/>
                <w:i/>
                <w:szCs w:val="22"/>
              </w:rPr>
              <w:t xml:space="preserve"> </w:t>
            </w:r>
            <w:r w:rsidRPr="00595F97">
              <w:rPr>
                <w:rFonts w:ascii="Times New Roman" w:hAnsi="Times New Roman" w:cs="Times New Roman"/>
                <w:i/>
                <w:szCs w:val="22"/>
              </w:rPr>
              <w:t>coeficiente sea igual a cero (0), la retención</w:t>
            </w:r>
            <w:r w:rsidR="00595F97" w:rsidRPr="00595F97">
              <w:rPr>
                <w:rFonts w:ascii="Times New Roman" w:hAnsi="Times New Roman" w:cs="Times New Roman"/>
                <w:i/>
                <w:szCs w:val="22"/>
              </w:rPr>
              <w:t xml:space="preserve"> </w:t>
            </w:r>
            <w:r w:rsidRPr="00595F97">
              <w:rPr>
                <w:rFonts w:ascii="Times New Roman" w:hAnsi="Times New Roman" w:cs="Times New Roman"/>
                <w:i/>
                <w:szCs w:val="22"/>
              </w:rPr>
              <w:t>que deberá practicarse será la que resulte</w:t>
            </w:r>
            <w:r w:rsidR="00595F97" w:rsidRPr="00595F97">
              <w:rPr>
                <w:rFonts w:ascii="Times New Roman" w:hAnsi="Times New Roman" w:cs="Times New Roman"/>
                <w:i/>
                <w:szCs w:val="22"/>
              </w:rPr>
              <w:t xml:space="preserve"> </w:t>
            </w:r>
            <w:r w:rsidRPr="00595F97">
              <w:rPr>
                <w:rFonts w:ascii="Times New Roman" w:hAnsi="Times New Roman" w:cs="Times New Roman"/>
                <w:i/>
                <w:szCs w:val="22"/>
              </w:rPr>
              <w:t>de aplicar directamente sobre el importe</w:t>
            </w:r>
            <w:r w:rsidR="00595F97" w:rsidRPr="00595F97">
              <w:rPr>
                <w:rFonts w:ascii="Times New Roman" w:hAnsi="Times New Roman" w:cs="Times New Roman"/>
                <w:i/>
                <w:szCs w:val="22"/>
              </w:rPr>
              <w:t xml:space="preserve"> </w:t>
            </w:r>
            <w:r w:rsidRPr="00595F97">
              <w:rPr>
                <w:rFonts w:ascii="Times New Roman" w:hAnsi="Times New Roman" w:cs="Times New Roman"/>
                <w:i/>
                <w:szCs w:val="22"/>
              </w:rPr>
              <w:t>neto o monto total previsto en el primer</w:t>
            </w:r>
            <w:r w:rsidR="00595F97" w:rsidRPr="00595F97">
              <w:rPr>
                <w:rFonts w:ascii="Times New Roman" w:hAnsi="Times New Roman" w:cs="Times New Roman"/>
                <w:i/>
                <w:szCs w:val="22"/>
              </w:rPr>
              <w:t xml:space="preserve"> </w:t>
            </w:r>
            <w:r w:rsidRPr="00595F97">
              <w:rPr>
                <w:rFonts w:ascii="Times New Roman" w:hAnsi="Times New Roman" w:cs="Times New Roman"/>
                <w:i/>
                <w:szCs w:val="22"/>
              </w:rPr>
              <w:t>párrafo, según corresponda, el porcentaje</w:t>
            </w:r>
            <w:r w:rsidR="00595F97" w:rsidRPr="00595F97">
              <w:rPr>
                <w:rFonts w:ascii="Times New Roman" w:hAnsi="Times New Roman" w:cs="Times New Roman"/>
                <w:i/>
                <w:szCs w:val="22"/>
              </w:rPr>
              <w:t xml:space="preserve"> </w:t>
            </w:r>
            <w:r w:rsidRPr="00595F97">
              <w:rPr>
                <w:rFonts w:ascii="Times New Roman" w:hAnsi="Times New Roman" w:cs="Times New Roman"/>
                <w:i/>
                <w:szCs w:val="22"/>
              </w:rPr>
              <w:t>reducido del cero coma</w:t>
            </w:r>
            <w:r w:rsidR="00595F97" w:rsidRPr="00595F97">
              <w:rPr>
                <w:rFonts w:ascii="Times New Roman" w:hAnsi="Times New Roman" w:cs="Times New Roman"/>
                <w:i/>
                <w:szCs w:val="22"/>
              </w:rPr>
              <w:t xml:space="preserve"> veinticinco por ciento (0,25%)”</w:t>
            </w:r>
            <w:r w:rsidRPr="00595F97">
              <w:rPr>
                <w:rFonts w:ascii="Times New Roman" w:hAnsi="Times New Roman" w:cs="Times New Roman"/>
                <w:i/>
                <w:szCs w:val="22"/>
              </w:rPr>
              <w:t>.</w:t>
            </w:r>
          </w:p>
          <w:p w:rsidR="00595F97" w:rsidRPr="00595F97" w:rsidRDefault="00595F97" w:rsidP="007C0C01">
            <w:pPr>
              <w:pStyle w:val="Default"/>
              <w:jc w:val="both"/>
              <w:rPr>
                <w:rFonts w:ascii="Times New Roman" w:hAnsi="Times New Roman" w:cs="Times New Roman"/>
                <w:i/>
                <w:szCs w:val="22"/>
              </w:rPr>
            </w:pPr>
          </w:p>
          <w:p w:rsidR="00595F97" w:rsidRPr="00595F97" w:rsidRDefault="00595F97" w:rsidP="007C0C01">
            <w:pPr>
              <w:pStyle w:val="Default"/>
              <w:jc w:val="both"/>
              <w:rPr>
                <w:rFonts w:ascii="Times New Roman" w:hAnsi="Times New Roman" w:cs="Times New Roman"/>
                <w:i/>
                <w:szCs w:val="22"/>
              </w:rPr>
            </w:pPr>
          </w:p>
          <w:p w:rsidR="00A37630" w:rsidRDefault="007C0C01" w:rsidP="00595F97">
            <w:pPr>
              <w:pStyle w:val="Default"/>
              <w:jc w:val="both"/>
              <w:rPr>
                <w:rFonts w:ascii="Times New Roman" w:hAnsi="Times New Roman" w:cs="Times New Roman"/>
                <w:i/>
                <w:szCs w:val="22"/>
                <w:u w:val="single"/>
              </w:rPr>
            </w:pPr>
            <w:r w:rsidRPr="00595F97">
              <w:rPr>
                <w:rFonts w:ascii="Times New Roman" w:hAnsi="Times New Roman" w:cs="Times New Roman"/>
                <w:i/>
                <w:szCs w:val="22"/>
              </w:rPr>
              <w:t>Aclaración: Cuando el párrafo modificado</w:t>
            </w:r>
            <w:r w:rsidR="00595F97">
              <w:rPr>
                <w:rFonts w:ascii="Times New Roman" w:hAnsi="Times New Roman" w:cs="Times New Roman"/>
                <w:i/>
                <w:szCs w:val="22"/>
              </w:rPr>
              <w:t xml:space="preserve"> </w:t>
            </w:r>
            <w:r w:rsidRPr="00595F97">
              <w:rPr>
                <w:rFonts w:ascii="Times New Roman" w:hAnsi="Times New Roman" w:cs="Times New Roman"/>
                <w:i/>
                <w:szCs w:val="22"/>
              </w:rPr>
              <w:t>indica “dicha nómina” es en alusión a lo</w:t>
            </w:r>
            <w:r w:rsidR="00595F97">
              <w:rPr>
                <w:rFonts w:ascii="Times New Roman" w:hAnsi="Times New Roman" w:cs="Times New Roman"/>
                <w:i/>
                <w:szCs w:val="22"/>
              </w:rPr>
              <w:t xml:space="preserve"> </w:t>
            </w:r>
            <w:r w:rsidRPr="00595F97">
              <w:rPr>
                <w:rFonts w:ascii="Times New Roman" w:hAnsi="Times New Roman" w:cs="Times New Roman"/>
                <w:i/>
                <w:szCs w:val="22"/>
              </w:rPr>
              <w:t>dicho en párrafo anterior de la normativa:</w:t>
            </w:r>
            <w:r w:rsidR="00595F97">
              <w:rPr>
                <w:rFonts w:ascii="Times New Roman" w:hAnsi="Times New Roman" w:cs="Times New Roman"/>
                <w:i/>
                <w:szCs w:val="22"/>
              </w:rPr>
              <w:t xml:space="preserve"> </w:t>
            </w:r>
            <w:r w:rsidR="00595F97" w:rsidRPr="00595F97">
              <w:rPr>
                <w:rFonts w:ascii="Times New Roman" w:hAnsi="Times New Roman" w:cs="Times New Roman"/>
                <w:i/>
                <w:szCs w:val="22"/>
                <w:u w:val="single"/>
              </w:rPr>
              <w:t>“la nómina a la cual se refiere la resolución general (DGR) 116/2010 y sus modificatorias”.</w:t>
            </w:r>
          </w:p>
          <w:p w:rsidR="003276BC" w:rsidRPr="00595F97" w:rsidRDefault="003276BC" w:rsidP="00595F97">
            <w:pPr>
              <w:pStyle w:val="Default"/>
              <w:jc w:val="both"/>
              <w:rPr>
                <w:rFonts w:ascii="Times New Roman" w:hAnsi="Times New Roman" w:cs="Times New Roman"/>
                <w:i/>
                <w:szCs w:val="22"/>
              </w:rPr>
            </w:pPr>
          </w:p>
        </w:tc>
        <w:tc>
          <w:tcPr>
            <w:tcW w:w="4606" w:type="dxa"/>
          </w:tcPr>
          <w:p w:rsidR="00A37630" w:rsidRPr="00A37630" w:rsidRDefault="00A37630" w:rsidP="00A37630">
            <w:pPr>
              <w:pStyle w:val="Default"/>
              <w:jc w:val="both"/>
              <w:rPr>
                <w:rFonts w:ascii="Times New Roman" w:hAnsi="Times New Roman" w:cs="Times New Roman"/>
                <w:i/>
                <w:szCs w:val="22"/>
              </w:rPr>
            </w:pPr>
            <w:r w:rsidRPr="00A37630">
              <w:rPr>
                <w:rFonts w:ascii="Times New Roman" w:hAnsi="Times New Roman" w:cs="Times New Roman"/>
                <w:i/>
                <w:szCs w:val="22"/>
              </w:rPr>
              <w:lastRenderedPageBreak/>
              <w:t xml:space="preserve">“Cuando el coeficiente consignado en dicha nómina sea igual a cero (0), la retención que deberá practicarse será la que resulte de </w:t>
            </w:r>
            <w:r w:rsidRPr="00A37630">
              <w:rPr>
                <w:rFonts w:ascii="Times New Roman" w:hAnsi="Times New Roman" w:cs="Times New Roman"/>
                <w:i/>
                <w:szCs w:val="22"/>
              </w:rPr>
              <w:lastRenderedPageBreak/>
              <w:t>aplicar directamente sobre el importe neto previsto en el primer párrafo el porcentaje reducido del cero coma veinticinco por ciento (0,25%)”.</w:t>
            </w:r>
          </w:p>
        </w:tc>
      </w:tr>
    </w:tbl>
    <w:p w:rsidR="00A37630" w:rsidRDefault="00A37630" w:rsidP="00B820A8">
      <w:pPr>
        <w:jc w:val="both"/>
        <w:rPr>
          <w:lang w:val="es-AR"/>
        </w:rPr>
      </w:pPr>
    </w:p>
    <w:p w:rsidR="005B1DA6" w:rsidRDefault="005B1DA6" w:rsidP="005B1DA6">
      <w:pPr>
        <w:jc w:val="both"/>
        <w:rPr>
          <w:lang w:val="es-AR"/>
        </w:rPr>
      </w:pPr>
    </w:p>
    <w:p w:rsidR="005B1DA6" w:rsidRDefault="005B1DA6" w:rsidP="0005100E">
      <w:pPr>
        <w:jc w:val="both"/>
        <w:rPr>
          <w:lang w:val="es-AR"/>
        </w:rPr>
      </w:pPr>
      <w:r>
        <w:rPr>
          <w:lang w:val="es-AR"/>
        </w:rPr>
        <w:t xml:space="preserve">Previo a la sanción de la </w:t>
      </w:r>
      <w:r w:rsidRPr="005B1DA6">
        <w:rPr>
          <w:lang w:val="es-AR"/>
        </w:rPr>
        <w:t>RG 2/2023</w:t>
      </w:r>
      <w:r>
        <w:rPr>
          <w:lang w:val="es-AR"/>
        </w:rPr>
        <w:t xml:space="preserve">, </w:t>
      </w:r>
      <w:r w:rsidR="0005100E">
        <w:rPr>
          <w:lang w:val="es-AR"/>
        </w:rPr>
        <w:t xml:space="preserve">aquellos </w:t>
      </w:r>
      <w:r>
        <w:rPr>
          <w:lang w:val="es-AR"/>
        </w:rPr>
        <w:t>s</w:t>
      </w:r>
      <w:r w:rsidRPr="005B1DA6">
        <w:rPr>
          <w:lang w:val="es-AR"/>
        </w:rPr>
        <w:t>ujetos pasibles de retención y/o percepción que no acredita</w:t>
      </w:r>
      <w:r w:rsidR="0005100E">
        <w:rPr>
          <w:lang w:val="es-AR"/>
        </w:rPr>
        <w:t>ba</w:t>
      </w:r>
      <w:r w:rsidRPr="005B1DA6">
        <w:rPr>
          <w:lang w:val="es-AR"/>
        </w:rPr>
        <w:t>n inscripción en la</w:t>
      </w:r>
      <w:r>
        <w:rPr>
          <w:lang w:val="es-AR"/>
        </w:rPr>
        <w:t xml:space="preserve"> </w:t>
      </w:r>
      <w:r w:rsidRPr="005B1DA6">
        <w:rPr>
          <w:lang w:val="es-AR"/>
        </w:rPr>
        <w:t xml:space="preserve">Provincia de Tucumán, </w:t>
      </w:r>
      <w:r w:rsidR="0005100E">
        <w:rPr>
          <w:lang w:val="es-AR"/>
        </w:rPr>
        <w:t xml:space="preserve">se les </w:t>
      </w:r>
      <w:r w:rsidR="0005100E" w:rsidRPr="005B1DA6">
        <w:rPr>
          <w:lang w:val="es-AR"/>
        </w:rPr>
        <w:t>aplicaba la percepción y/o retención sobre bases “totales” sin</w:t>
      </w:r>
      <w:r w:rsidR="0005100E">
        <w:rPr>
          <w:lang w:val="es-AR"/>
        </w:rPr>
        <w:t xml:space="preserve"> </w:t>
      </w:r>
      <w:r w:rsidR="0005100E" w:rsidRPr="005B1DA6">
        <w:rPr>
          <w:lang w:val="es-AR"/>
        </w:rPr>
        <w:t>detraer ni deducir suma alguna. Es decir, sobre el total facturado si se tratara de</w:t>
      </w:r>
      <w:r w:rsidR="0005100E">
        <w:rPr>
          <w:lang w:val="es-AR"/>
        </w:rPr>
        <w:t xml:space="preserve"> </w:t>
      </w:r>
      <w:r w:rsidR="0005100E" w:rsidRPr="005B1DA6">
        <w:rPr>
          <w:lang w:val="es-AR"/>
        </w:rPr>
        <w:t xml:space="preserve">percepción o sobre el importe bruto del pago si </w:t>
      </w:r>
      <w:r w:rsidR="0005100E">
        <w:rPr>
          <w:lang w:val="es-AR"/>
        </w:rPr>
        <w:t>era</w:t>
      </w:r>
      <w:r w:rsidR="0005100E" w:rsidRPr="005B1DA6">
        <w:rPr>
          <w:lang w:val="es-AR"/>
        </w:rPr>
        <w:t xml:space="preserve"> una retención.</w:t>
      </w:r>
      <w:r w:rsidR="0005100E">
        <w:rPr>
          <w:lang w:val="es-AR"/>
        </w:rPr>
        <w:t xml:space="preserve"> Se interpreta que en</w:t>
      </w:r>
      <w:r w:rsidRPr="005B1DA6">
        <w:rPr>
          <w:lang w:val="es-AR"/>
        </w:rPr>
        <w:t xml:space="preserve"> cierto modo </w:t>
      </w:r>
      <w:r w:rsidR="0005100E">
        <w:rPr>
          <w:lang w:val="es-AR"/>
        </w:rPr>
        <w:t>era</w:t>
      </w:r>
      <w:r w:rsidR="000D2009">
        <w:rPr>
          <w:lang w:val="es-AR"/>
        </w:rPr>
        <w:t>n</w:t>
      </w:r>
      <w:r w:rsidR="0005100E">
        <w:rPr>
          <w:lang w:val="es-AR"/>
        </w:rPr>
        <w:t xml:space="preserve"> </w:t>
      </w:r>
      <w:r w:rsidRPr="005B1DA6">
        <w:rPr>
          <w:lang w:val="es-AR"/>
        </w:rPr>
        <w:t>“sancionados”</w:t>
      </w:r>
      <w:r>
        <w:rPr>
          <w:lang w:val="es-AR"/>
        </w:rPr>
        <w:t xml:space="preserve"> </w:t>
      </w:r>
      <w:r w:rsidRPr="005B1DA6">
        <w:rPr>
          <w:lang w:val="es-AR"/>
        </w:rPr>
        <w:t>vía agente de</w:t>
      </w:r>
      <w:r>
        <w:rPr>
          <w:lang w:val="es-AR"/>
        </w:rPr>
        <w:t xml:space="preserve"> </w:t>
      </w:r>
      <w:r w:rsidRPr="005B1DA6">
        <w:rPr>
          <w:lang w:val="es-AR"/>
        </w:rPr>
        <w:t>recaudación</w:t>
      </w:r>
      <w:r w:rsidR="0005100E">
        <w:rPr>
          <w:lang w:val="es-AR"/>
        </w:rPr>
        <w:t>.</w:t>
      </w:r>
    </w:p>
    <w:p w:rsidR="005B1DA6" w:rsidRDefault="005B1DA6" w:rsidP="005B1DA6">
      <w:pPr>
        <w:jc w:val="both"/>
        <w:rPr>
          <w:lang w:val="es-AR"/>
        </w:rPr>
      </w:pPr>
    </w:p>
    <w:p w:rsidR="00A37630" w:rsidRDefault="005B1DA6" w:rsidP="005B1DA6">
      <w:pPr>
        <w:jc w:val="both"/>
        <w:rPr>
          <w:lang w:val="es-AR"/>
        </w:rPr>
      </w:pPr>
      <w:r>
        <w:rPr>
          <w:lang w:val="es-AR"/>
        </w:rPr>
        <w:t xml:space="preserve">Ahora bien, con las modificaciones introducidas por la </w:t>
      </w:r>
      <w:r w:rsidRPr="005B1DA6">
        <w:rPr>
          <w:lang w:val="es-AR"/>
        </w:rPr>
        <w:t>RG 2/2023</w:t>
      </w:r>
      <w:r>
        <w:rPr>
          <w:lang w:val="es-AR"/>
        </w:rPr>
        <w:t>, s</w:t>
      </w:r>
      <w:r w:rsidRPr="005B1DA6">
        <w:rPr>
          <w:lang w:val="es-AR"/>
        </w:rPr>
        <w:t>e mantiene la sanción a quienes no acreditan inscripción (con una base de cálculo</w:t>
      </w:r>
      <w:r>
        <w:rPr>
          <w:lang w:val="es-AR"/>
        </w:rPr>
        <w:t xml:space="preserve"> </w:t>
      </w:r>
      <w:r w:rsidRPr="005B1DA6">
        <w:rPr>
          <w:lang w:val="es-AR"/>
        </w:rPr>
        <w:t xml:space="preserve">mayor para sus </w:t>
      </w:r>
      <w:r w:rsidR="006C713E" w:rsidRPr="00167587">
        <w:t>retenciones y/o percepciones</w:t>
      </w:r>
      <w:r w:rsidRPr="005B1DA6">
        <w:rPr>
          <w:lang w:val="es-AR"/>
        </w:rPr>
        <w:t xml:space="preserve">) </w:t>
      </w:r>
      <w:r w:rsidRPr="005B1DA6">
        <w:rPr>
          <w:b/>
          <w:u w:val="single"/>
          <w:lang w:val="es-AR"/>
        </w:rPr>
        <w:t xml:space="preserve">y se suman nuevos contribuyentes a quienes corresponderá aplicar percepciones y/o retenciones sobre “base total”. </w:t>
      </w:r>
      <w:r w:rsidR="0005100E">
        <w:rPr>
          <w:b/>
          <w:u w:val="single"/>
          <w:lang w:val="es-AR"/>
        </w:rPr>
        <w:t xml:space="preserve">Estos nuevos sujetos son aquellos que </w:t>
      </w:r>
      <w:r w:rsidRPr="005B1DA6">
        <w:rPr>
          <w:b/>
          <w:u w:val="single"/>
          <w:lang w:val="es-AR"/>
        </w:rPr>
        <w:t xml:space="preserve">sean publicados en la nómina a la que refiere la RG (DGR) N° 116/10 y sus </w:t>
      </w:r>
      <w:r w:rsidR="000D2009">
        <w:rPr>
          <w:b/>
          <w:u w:val="single"/>
          <w:lang w:val="es-AR"/>
        </w:rPr>
        <w:t xml:space="preserve">modificatorias, </w:t>
      </w:r>
      <w:r w:rsidRPr="005B1DA6">
        <w:rPr>
          <w:b/>
          <w:u w:val="single"/>
          <w:lang w:val="es-AR"/>
        </w:rPr>
        <w:t>con un coeficiente</w:t>
      </w:r>
      <w:r w:rsidR="000D2009" w:rsidRPr="000D2009">
        <w:t xml:space="preserve"> </w:t>
      </w:r>
      <w:r w:rsidR="000D2009" w:rsidRPr="000D2009">
        <w:rPr>
          <w:b/>
          <w:u w:val="single"/>
          <w:lang w:val="es-AR"/>
        </w:rPr>
        <w:t>que sea igual a uno (1)</w:t>
      </w:r>
      <w:r w:rsidRPr="005B1DA6">
        <w:rPr>
          <w:b/>
          <w:u w:val="single"/>
          <w:lang w:val="es-AR"/>
        </w:rPr>
        <w:t>.</w:t>
      </w:r>
      <w:r w:rsidRPr="005B1DA6">
        <w:rPr>
          <w:lang w:val="es-AR"/>
        </w:rPr>
        <w:t xml:space="preserve"> Es decir, </w:t>
      </w:r>
      <w:r w:rsidR="000D2009">
        <w:rPr>
          <w:lang w:val="es-AR"/>
        </w:rPr>
        <w:t>se está</w:t>
      </w:r>
      <w:r w:rsidRPr="005B1DA6">
        <w:rPr>
          <w:lang w:val="es-AR"/>
        </w:rPr>
        <w:t xml:space="preserve"> frente</w:t>
      </w:r>
      <w:r>
        <w:rPr>
          <w:lang w:val="es-AR"/>
        </w:rPr>
        <w:t xml:space="preserve"> </w:t>
      </w:r>
      <w:r w:rsidRPr="005B1DA6">
        <w:rPr>
          <w:lang w:val="es-AR"/>
        </w:rPr>
        <w:t>a nuevos sancionados.</w:t>
      </w:r>
    </w:p>
    <w:p w:rsidR="00A37630" w:rsidRDefault="00A37630" w:rsidP="00B820A8">
      <w:pPr>
        <w:jc w:val="both"/>
        <w:rPr>
          <w:lang w:val="es-AR"/>
        </w:rPr>
      </w:pPr>
    </w:p>
    <w:p w:rsidR="006B1C4A" w:rsidRDefault="006B1C4A" w:rsidP="00B820A8">
      <w:pPr>
        <w:jc w:val="both"/>
        <w:rPr>
          <w:lang w:val="es-AR"/>
        </w:rPr>
      </w:pPr>
    </w:p>
    <w:p w:rsidR="000D2009" w:rsidRDefault="000D2009" w:rsidP="00B820A8">
      <w:pPr>
        <w:jc w:val="both"/>
        <w:rPr>
          <w:b/>
          <w:u w:val="single"/>
          <w:lang w:val="es-AR"/>
        </w:rPr>
      </w:pPr>
      <w:r>
        <w:rPr>
          <w:b/>
          <w:u w:val="single"/>
          <w:lang w:val="es-AR"/>
        </w:rPr>
        <w:t>N</w:t>
      </w:r>
      <w:r w:rsidRPr="005B1DA6">
        <w:rPr>
          <w:b/>
          <w:u w:val="single"/>
          <w:lang w:val="es-AR"/>
        </w:rPr>
        <w:t>ómina</w:t>
      </w:r>
      <w:r>
        <w:rPr>
          <w:b/>
          <w:u w:val="single"/>
          <w:lang w:val="es-AR"/>
        </w:rPr>
        <w:t xml:space="preserve">. </w:t>
      </w:r>
      <w:r w:rsidRPr="005B1DA6">
        <w:rPr>
          <w:b/>
          <w:u w:val="single"/>
          <w:lang w:val="es-AR"/>
        </w:rPr>
        <w:t>RG (DGR) N° 116/10</w:t>
      </w:r>
    </w:p>
    <w:p w:rsidR="000D2009" w:rsidRDefault="000D2009" w:rsidP="00B820A8">
      <w:pPr>
        <w:jc w:val="both"/>
        <w:rPr>
          <w:lang w:val="es-AR"/>
        </w:rPr>
      </w:pPr>
    </w:p>
    <w:p w:rsidR="0005100E" w:rsidRDefault="0005100E" w:rsidP="0005100E">
      <w:pPr>
        <w:jc w:val="both"/>
        <w:rPr>
          <w:lang w:val="es-AR"/>
        </w:rPr>
      </w:pPr>
      <w:r w:rsidRPr="0005100E">
        <w:rPr>
          <w:lang w:val="es-AR"/>
        </w:rPr>
        <w:t>La nómina a la que refiere la RG (DGR) N° 116/10 será publicada. con una antelación no menor a tres (3) días hábiles al inicio del mes calendario de su aplicación, en la página web de la Dirección General de Rentas bajo el link “Coeficientes RG 116/10”</w:t>
      </w:r>
      <w:r>
        <w:rPr>
          <w:lang w:val="es-AR"/>
        </w:rPr>
        <w:t>.</w:t>
      </w:r>
    </w:p>
    <w:p w:rsidR="0005100E" w:rsidRDefault="0005100E" w:rsidP="0005100E">
      <w:pPr>
        <w:jc w:val="both"/>
        <w:rPr>
          <w:lang w:val="es-AR"/>
        </w:rPr>
      </w:pPr>
    </w:p>
    <w:p w:rsidR="00A37630" w:rsidRDefault="00B41949" w:rsidP="00B820A8">
      <w:pPr>
        <w:jc w:val="both"/>
        <w:rPr>
          <w:lang w:val="es-AR"/>
        </w:rPr>
      </w:pPr>
      <w:r>
        <w:rPr>
          <w:lang w:val="es-AR"/>
        </w:rPr>
        <w:t xml:space="preserve">La </w:t>
      </w:r>
      <w:r w:rsidRPr="0005100E">
        <w:rPr>
          <w:lang w:val="es-AR"/>
        </w:rPr>
        <w:t xml:space="preserve">RG (DGR) N° 116/10 </w:t>
      </w:r>
      <w:r>
        <w:rPr>
          <w:lang w:val="es-AR"/>
        </w:rPr>
        <w:t xml:space="preserve">establece que se le asignará </w:t>
      </w:r>
      <w:r w:rsidRPr="00B41949">
        <w:rPr>
          <w:lang w:val="es-AR"/>
        </w:rPr>
        <w:t>el coeficiente uno</w:t>
      </w:r>
      <w:r>
        <w:rPr>
          <w:lang w:val="es-AR"/>
        </w:rPr>
        <w:t xml:space="preserve"> </w:t>
      </w:r>
      <w:r w:rsidRPr="00B41949">
        <w:rPr>
          <w:lang w:val="es-AR"/>
        </w:rPr>
        <w:t>(1,0000)</w:t>
      </w:r>
      <w:r>
        <w:rPr>
          <w:lang w:val="es-AR"/>
        </w:rPr>
        <w:t xml:space="preserve"> a:</w:t>
      </w:r>
    </w:p>
    <w:p w:rsidR="00B41949" w:rsidRDefault="00B41949" w:rsidP="00B820A8">
      <w:pPr>
        <w:jc w:val="both"/>
        <w:rPr>
          <w:lang w:val="es-AR"/>
        </w:rPr>
      </w:pPr>
    </w:p>
    <w:p w:rsidR="00B41949" w:rsidRDefault="00B41949" w:rsidP="00B41949">
      <w:pPr>
        <w:jc w:val="both"/>
        <w:rPr>
          <w:lang w:val="es-AR"/>
        </w:rPr>
      </w:pPr>
      <w:r>
        <w:rPr>
          <w:lang w:val="es-AR"/>
        </w:rPr>
        <w:t>1) L</w:t>
      </w:r>
      <w:r w:rsidRPr="00B41949">
        <w:rPr>
          <w:lang w:val="es-AR"/>
        </w:rPr>
        <w:t>os contribuyentes que no cumplan con la presentación y/o pago de las</w:t>
      </w:r>
      <w:r>
        <w:rPr>
          <w:lang w:val="es-AR"/>
        </w:rPr>
        <w:t xml:space="preserve"> </w:t>
      </w:r>
      <w:r w:rsidRPr="00B41949">
        <w:rPr>
          <w:lang w:val="es-AR"/>
        </w:rPr>
        <w:t>declaraciones juradas correspondientes al impuesto sobre los ingresos brutos</w:t>
      </w:r>
      <w:r>
        <w:rPr>
          <w:lang w:val="es-AR"/>
        </w:rPr>
        <w:t xml:space="preserve"> </w:t>
      </w:r>
      <w:r w:rsidRPr="00B41949">
        <w:rPr>
          <w:lang w:val="es-AR"/>
        </w:rPr>
        <w:t>y sus anticipos, a través de la utilización del programa aplicativo local</w:t>
      </w:r>
      <w:r>
        <w:rPr>
          <w:lang w:val="es-AR"/>
        </w:rPr>
        <w:t xml:space="preserve"> </w:t>
      </w:r>
      <w:proofErr w:type="spellStart"/>
      <w:r w:rsidRPr="00B41949">
        <w:rPr>
          <w:lang w:val="es-AR"/>
        </w:rPr>
        <w:t>SiAPre</w:t>
      </w:r>
      <w:proofErr w:type="spellEnd"/>
      <w:r>
        <w:rPr>
          <w:lang w:val="es-AR"/>
        </w:rPr>
        <w:t xml:space="preserve">, </w:t>
      </w:r>
      <w:r w:rsidRPr="00B41949">
        <w:rPr>
          <w:lang w:val="es-AR"/>
        </w:rPr>
        <w:t>cuyos vencimientos hubieren operado hasta el penúltimo</w:t>
      </w:r>
      <w:r>
        <w:rPr>
          <w:lang w:val="es-AR"/>
        </w:rPr>
        <w:t xml:space="preserve"> </w:t>
      </w:r>
      <w:r w:rsidRPr="00B41949">
        <w:rPr>
          <w:lang w:val="es-AR"/>
        </w:rPr>
        <w:t xml:space="preserve">mes calendario anterior al de </w:t>
      </w:r>
      <w:r w:rsidR="009568A7">
        <w:rPr>
          <w:lang w:val="es-AR"/>
        </w:rPr>
        <w:t xml:space="preserve">la </w:t>
      </w:r>
      <w:r w:rsidRPr="00B41949">
        <w:rPr>
          <w:lang w:val="es-AR"/>
        </w:rPr>
        <w:t>aplicación</w:t>
      </w:r>
      <w:r w:rsidR="009568A7">
        <w:rPr>
          <w:lang w:val="es-AR"/>
        </w:rPr>
        <w:t xml:space="preserve"> del </w:t>
      </w:r>
      <w:r w:rsidR="009568A7" w:rsidRPr="00B41949">
        <w:rPr>
          <w:lang w:val="es-AR"/>
        </w:rPr>
        <w:t>coeficiente</w:t>
      </w:r>
      <w:r>
        <w:rPr>
          <w:lang w:val="es-AR"/>
        </w:rPr>
        <w:t>.</w:t>
      </w:r>
    </w:p>
    <w:p w:rsidR="00B41949" w:rsidRDefault="00B41949" w:rsidP="00B41949">
      <w:pPr>
        <w:jc w:val="both"/>
        <w:rPr>
          <w:lang w:val="es-AR"/>
        </w:rPr>
      </w:pPr>
    </w:p>
    <w:p w:rsidR="009568A7" w:rsidRDefault="00B41949" w:rsidP="00B41949">
      <w:pPr>
        <w:jc w:val="both"/>
        <w:rPr>
          <w:lang w:val="es-AR"/>
        </w:rPr>
      </w:pPr>
      <w:r>
        <w:rPr>
          <w:lang w:val="es-AR"/>
        </w:rPr>
        <w:t xml:space="preserve">2) </w:t>
      </w:r>
      <w:r w:rsidR="009568A7">
        <w:rPr>
          <w:lang w:val="es-AR"/>
        </w:rPr>
        <w:t>Los</w:t>
      </w:r>
      <w:r w:rsidRPr="00B41949">
        <w:rPr>
          <w:lang w:val="es-AR"/>
        </w:rPr>
        <w:t xml:space="preserve"> agentes de</w:t>
      </w:r>
      <w:r w:rsidR="009568A7">
        <w:rPr>
          <w:lang w:val="es-AR"/>
        </w:rPr>
        <w:t xml:space="preserve"> </w:t>
      </w:r>
      <w:r w:rsidRPr="00B41949">
        <w:rPr>
          <w:lang w:val="es-AR"/>
        </w:rPr>
        <w:t>retención y/o percepción del impu</w:t>
      </w:r>
      <w:r w:rsidR="009568A7">
        <w:rPr>
          <w:lang w:val="es-AR"/>
        </w:rPr>
        <w:t xml:space="preserve">esto sobre los ingresos brutos que </w:t>
      </w:r>
      <w:r w:rsidRPr="00B41949">
        <w:rPr>
          <w:lang w:val="es-AR"/>
        </w:rPr>
        <w:t>no cumplan</w:t>
      </w:r>
      <w:r w:rsidR="009568A7">
        <w:rPr>
          <w:lang w:val="es-AR"/>
        </w:rPr>
        <w:t xml:space="preserve"> </w:t>
      </w:r>
      <w:r w:rsidRPr="00B41949">
        <w:rPr>
          <w:lang w:val="es-AR"/>
        </w:rPr>
        <w:t>con la presentación y/o pago de las declaraciones juradas respectivas cuyos</w:t>
      </w:r>
      <w:r w:rsidR="009568A7">
        <w:rPr>
          <w:lang w:val="es-AR"/>
        </w:rPr>
        <w:t xml:space="preserve"> </w:t>
      </w:r>
      <w:r w:rsidRPr="00B41949">
        <w:rPr>
          <w:lang w:val="es-AR"/>
        </w:rPr>
        <w:t>vencimientos hubieren operado hasta el penúltimo mes calendario anterior al</w:t>
      </w:r>
      <w:r w:rsidR="009568A7">
        <w:rPr>
          <w:lang w:val="es-AR"/>
        </w:rPr>
        <w:t xml:space="preserve"> </w:t>
      </w:r>
      <w:r w:rsidRPr="00B41949">
        <w:rPr>
          <w:lang w:val="es-AR"/>
        </w:rPr>
        <w:t>de la referida nómina.</w:t>
      </w:r>
    </w:p>
    <w:p w:rsidR="009568A7" w:rsidRDefault="009568A7" w:rsidP="00B41949">
      <w:pPr>
        <w:jc w:val="both"/>
        <w:rPr>
          <w:lang w:val="es-AR"/>
        </w:rPr>
      </w:pPr>
    </w:p>
    <w:p w:rsidR="00A37630" w:rsidRDefault="009568A7" w:rsidP="00167587">
      <w:pPr>
        <w:jc w:val="both"/>
        <w:rPr>
          <w:lang w:val="es-AR"/>
        </w:rPr>
      </w:pPr>
      <w:r>
        <w:rPr>
          <w:lang w:val="es-AR"/>
        </w:rPr>
        <w:t>3) Los</w:t>
      </w:r>
      <w:r w:rsidR="00B41949" w:rsidRPr="00B41949">
        <w:rPr>
          <w:lang w:val="es-AR"/>
        </w:rPr>
        <w:t xml:space="preserve"> contribuyentes y/o</w:t>
      </w:r>
      <w:r>
        <w:rPr>
          <w:lang w:val="es-AR"/>
        </w:rPr>
        <w:t xml:space="preserve"> </w:t>
      </w:r>
      <w:r w:rsidR="00B41949" w:rsidRPr="00B41949">
        <w:rPr>
          <w:lang w:val="es-AR"/>
        </w:rPr>
        <w:t>responsables del impuesto sobre los ingresos brutos que se hubieran acogido</w:t>
      </w:r>
      <w:r>
        <w:rPr>
          <w:lang w:val="es-AR"/>
        </w:rPr>
        <w:t xml:space="preserve"> </w:t>
      </w:r>
      <w:r w:rsidR="00B41949" w:rsidRPr="00B41949">
        <w:rPr>
          <w:lang w:val="es-AR"/>
        </w:rPr>
        <w:t>a planes de facilidades de pago por cualquiera de los tributos recaudados por</w:t>
      </w:r>
      <w:r>
        <w:rPr>
          <w:lang w:val="es-AR"/>
        </w:rPr>
        <w:t xml:space="preserve"> </w:t>
      </w:r>
      <w:r w:rsidR="000D2009">
        <w:rPr>
          <w:lang w:val="es-AR"/>
        </w:rPr>
        <w:t xml:space="preserve">la </w:t>
      </w:r>
      <w:r>
        <w:rPr>
          <w:lang w:val="es-AR"/>
        </w:rPr>
        <w:t xml:space="preserve">DGR y </w:t>
      </w:r>
      <w:r w:rsidR="00B41949" w:rsidRPr="00B41949">
        <w:rPr>
          <w:lang w:val="es-AR"/>
        </w:rPr>
        <w:t>que a la fecha de confección de la nómina</w:t>
      </w:r>
      <w:r>
        <w:rPr>
          <w:lang w:val="es-AR"/>
        </w:rPr>
        <w:t xml:space="preserve"> </w:t>
      </w:r>
      <w:r w:rsidR="00B41949" w:rsidRPr="00B41949">
        <w:rPr>
          <w:lang w:val="es-AR"/>
        </w:rPr>
        <w:t>se encuentren caducos, conforme a las normas legales o reglamentarias que</w:t>
      </w:r>
      <w:r>
        <w:rPr>
          <w:lang w:val="es-AR"/>
        </w:rPr>
        <w:t xml:space="preserve"> </w:t>
      </w:r>
      <w:r w:rsidR="00B41949" w:rsidRPr="00B41949">
        <w:rPr>
          <w:lang w:val="es-AR"/>
        </w:rPr>
        <w:t>e</w:t>
      </w:r>
      <w:r w:rsidR="000D2009">
        <w:rPr>
          <w:lang w:val="es-AR"/>
        </w:rPr>
        <w:t>stablecen dichos planes.</w:t>
      </w:r>
    </w:p>
    <w:p w:rsidR="00167587" w:rsidRDefault="00167587" w:rsidP="00167587">
      <w:pPr>
        <w:jc w:val="both"/>
        <w:rPr>
          <w:lang w:val="es-AR"/>
        </w:rPr>
      </w:pPr>
    </w:p>
    <w:p w:rsidR="00167587" w:rsidRDefault="00167587" w:rsidP="00167587">
      <w:pPr>
        <w:jc w:val="both"/>
        <w:rPr>
          <w:lang w:val="es-AR"/>
        </w:rPr>
      </w:pPr>
    </w:p>
    <w:p w:rsidR="00167587" w:rsidRDefault="00167587" w:rsidP="00167587">
      <w:pPr>
        <w:jc w:val="both"/>
        <w:rPr>
          <w:b/>
          <w:u w:val="single"/>
          <w:lang w:val="es-AR"/>
        </w:rPr>
      </w:pPr>
      <w:r w:rsidRPr="00167587">
        <w:rPr>
          <w:b/>
          <w:u w:val="single"/>
          <w:lang w:val="es-AR"/>
        </w:rPr>
        <w:t>Conclusión</w:t>
      </w:r>
    </w:p>
    <w:p w:rsidR="00167587" w:rsidRPr="00167587" w:rsidRDefault="00167587" w:rsidP="00167587">
      <w:pPr>
        <w:jc w:val="both"/>
        <w:rPr>
          <w:b/>
          <w:u w:val="single"/>
          <w:lang w:val="es-AR"/>
        </w:rPr>
      </w:pPr>
    </w:p>
    <w:p w:rsidR="00167587" w:rsidRPr="00167587" w:rsidRDefault="00167587" w:rsidP="00167587">
      <w:pPr>
        <w:autoSpaceDE w:val="0"/>
        <w:autoSpaceDN w:val="0"/>
        <w:adjustRightInd w:val="0"/>
        <w:jc w:val="both"/>
        <w:rPr>
          <w:lang w:val="es-AR"/>
        </w:rPr>
      </w:pPr>
      <w:r>
        <w:rPr>
          <w:lang w:val="es-AR"/>
        </w:rPr>
        <w:t xml:space="preserve">En el caso de los </w:t>
      </w:r>
      <w:r w:rsidRPr="00167587">
        <w:rPr>
          <w:b/>
          <w:u w:val="single"/>
          <w:lang w:val="es-AR"/>
        </w:rPr>
        <w:t>Agentes de Recaudación</w:t>
      </w:r>
      <w:r>
        <w:rPr>
          <w:lang w:val="es-AR"/>
        </w:rPr>
        <w:t xml:space="preserve"> deben realizar cambios en los </w:t>
      </w:r>
      <w:r w:rsidRPr="00167587">
        <w:rPr>
          <w:lang w:val="es-AR"/>
        </w:rPr>
        <w:t>sistemas de facturación y/o de pago.</w:t>
      </w:r>
      <w:r>
        <w:rPr>
          <w:lang w:val="es-AR"/>
        </w:rPr>
        <w:t xml:space="preserve"> Esto es porque la </w:t>
      </w:r>
      <w:r w:rsidRPr="00167587">
        <w:rPr>
          <w:lang w:val="es-AR"/>
        </w:rPr>
        <w:t xml:space="preserve">base de cálculo estará sujeta al coeficiente mensual a publicar por </w:t>
      </w:r>
      <w:r>
        <w:rPr>
          <w:lang w:val="es-AR"/>
        </w:rPr>
        <w:t>DGR</w:t>
      </w:r>
      <w:r w:rsidRPr="00167587">
        <w:rPr>
          <w:lang w:val="es-AR"/>
        </w:rPr>
        <w:t>. Por lo que puede suceder que un mismo contribuyente puede corresponderle un mes el cálculo sobre base neta (porque su coeficiente en nómina es diferente de uno), y al mes siguiente corresponderle una base total (si su coeficiente es uno).</w:t>
      </w:r>
    </w:p>
    <w:p w:rsidR="00167587" w:rsidRPr="00167587" w:rsidRDefault="00167587" w:rsidP="00167587">
      <w:pPr>
        <w:autoSpaceDE w:val="0"/>
        <w:autoSpaceDN w:val="0"/>
        <w:adjustRightInd w:val="0"/>
        <w:jc w:val="both"/>
        <w:rPr>
          <w:lang w:val="es-AR"/>
        </w:rPr>
      </w:pPr>
    </w:p>
    <w:p w:rsidR="00167587" w:rsidRPr="00167587" w:rsidRDefault="00167587" w:rsidP="00167587">
      <w:pPr>
        <w:pStyle w:val="Default"/>
        <w:jc w:val="both"/>
        <w:rPr>
          <w:rFonts w:ascii="Times New Roman" w:eastAsia="Times New Roman" w:hAnsi="Times New Roman" w:cs="Times New Roman"/>
          <w:color w:val="auto"/>
          <w:szCs w:val="20"/>
          <w:lang w:eastAsia="es-ES"/>
        </w:rPr>
      </w:pPr>
      <w:r w:rsidRPr="00167587">
        <w:rPr>
          <w:rFonts w:ascii="Times New Roman" w:eastAsia="Times New Roman" w:hAnsi="Times New Roman" w:cs="Times New Roman"/>
          <w:color w:val="auto"/>
          <w:szCs w:val="20"/>
          <w:lang w:eastAsia="es-ES"/>
        </w:rPr>
        <w:t xml:space="preserve">En el caso de los </w:t>
      </w:r>
      <w:r w:rsidRPr="00167587">
        <w:rPr>
          <w:rFonts w:ascii="Times New Roman" w:eastAsia="Times New Roman" w:hAnsi="Times New Roman" w:cs="Times New Roman"/>
          <w:b/>
          <w:color w:val="auto"/>
          <w:szCs w:val="20"/>
          <w:u w:val="single"/>
          <w:lang w:eastAsia="es-ES"/>
        </w:rPr>
        <w:t>Contribuyentes</w:t>
      </w:r>
      <w:r w:rsidRPr="00167587">
        <w:rPr>
          <w:rFonts w:ascii="Times New Roman" w:eastAsia="Times New Roman" w:hAnsi="Times New Roman" w:cs="Times New Roman"/>
          <w:color w:val="auto"/>
          <w:szCs w:val="20"/>
          <w:lang w:eastAsia="es-ES"/>
        </w:rPr>
        <w:t xml:space="preserve"> del impuesto sobre los ingresos brutos se sugiere revisar la clasificación que realice la Dirección de Rentas en su publicación mensual de la nómina de coeficientes, que en caso de encontrarse publicado con coeficiente uno</w:t>
      </w:r>
      <w:r w:rsidR="006C713E">
        <w:rPr>
          <w:rFonts w:ascii="Times New Roman" w:eastAsia="Times New Roman" w:hAnsi="Times New Roman" w:cs="Times New Roman"/>
          <w:color w:val="auto"/>
          <w:szCs w:val="20"/>
          <w:lang w:eastAsia="es-ES"/>
        </w:rPr>
        <w:t xml:space="preserve"> </w:t>
      </w:r>
      <w:r w:rsidRPr="00167587">
        <w:rPr>
          <w:rFonts w:ascii="Times New Roman" w:eastAsia="Times New Roman" w:hAnsi="Times New Roman" w:cs="Times New Roman"/>
          <w:color w:val="auto"/>
          <w:szCs w:val="20"/>
          <w:lang w:eastAsia="es-ES"/>
        </w:rPr>
        <w:t>(1,0000) sufrirán retenciones y/o percepciones</w:t>
      </w:r>
      <w:r w:rsidR="006C713E">
        <w:rPr>
          <w:rFonts w:ascii="Times New Roman" w:eastAsia="Times New Roman" w:hAnsi="Times New Roman" w:cs="Times New Roman"/>
          <w:color w:val="auto"/>
          <w:szCs w:val="20"/>
          <w:lang w:eastAsia="es-ES"/>
        </w:rPr>
        <w:t xml:space="preserve"> más gravosas.</w:t>
      </w:r>
    </w:p>
    <w:p w:rsidR="00167587" w:rsidRDefault="00167587" w:rsidP="00B820A8">
      <w:pPr>
        <w:jc w:val="both"/>
        <w:rPr>
          <w:lang w:val="es-AR"/>
        </w:rPr>
      </w:pPr>
    </w:p>
    <w:p w:rsidR="003276BC" w:rsidRDefault="003276BC" w:rsidP="00B820A8">
      <w:pPr>
        <w:jc w:val="both"/>
        <w:rPr>
          <w:lang w:val="es-AR"/>
        </w:rPr>
      </w:pPr>
    </w:p>
    <w:p w:rsidR="005B1DA6" w:rsidRPr="005B1DA6" w:rsidRDefault="005B1DA6" w:rsidP="005B1DA6">
      <w:pPr>
        <w:jc w:val="both"/>
        <w:rPr>
          <w:b/>
          <w:szCs w:val="24"/>
          <w:u w:val="single"/>
          <w:lang w:val="es-AR" w:eastAsia="es-AR"/>
        </w:rPr>
      </w:pPr>
      <w:r w:rsidRPr="005B1DA6">
        <w:rPr>
          <w:b/>
          <w:szCs w:val="24"/>
          <w:u w:val="single"/>
          <w:lang w:val="es-AR" w:eastAsia="es-AR"/>
        </w:rPr>
        <w:t>Vigencia</w:t>
      </w:r>
    </w:p>
    <w:p w:rsidR="005B1DA6" w:rsidRPr="005B1DA6" w:rsidRDefault="005B1DA6" w:rsidP="005B1DA6">
      <w:pPr>
        <w:widowControl w:val="0"/>
        <w:jc w:val="both"/>
        <w:rPr>
          <w:szCs w:val="24"/>
          <w:lang w:val="es-AR" w:eastAsia="es-AR"/>
        </w:rPr>
      </w:pPr>
    </w:p>
    <w:p w:rsidR="005B1DA6" w:rsidRPr="005B1DA6" w:rsidRDefault="005B1DA6" w:rsidP="005B1DA6">
      <w:pPr>
        <w:widowControl w:val="0"/>
        <w:ind w:right="50"/>
        <w:jc w:val="both"/>
        <w:rPr>
          <w:lang w:val="es-AR" w:eastAsia="es-AR"/>
        </w:rPr>
      </w:pPr>
      <w:r w:rsidRPr="005B1DA6">
        <w:rPr>
          <w:lang w:val="es-AR" w:eastAsia="es-AR"/>
        </w:rPr>
        <w:t xml:space="preserve">Las disposiciones de la </w:t>
      </w:r>
      <w:r>
        <w:rPr>
          <w:lang w:val="es-AR" w:eastAsia="es-AR"/>
        </w:rPr>
        <w:t>RG 02/2023</w:t>
      </w:r>
      <w:r w:rsidRPr="005B1DA6">
        <w:rPr>
          <w:lang w:val="es-AR" w:eastAsia="es-AR"/>
        </w:rPr>
        <w:t xml:space="preserve"> </w:t>
      </w:r>
      <w:r w:rsidRPr="005B1DA6">
        <w:rPr>
          <w:b/>
          <w:u w:val="single"/>
          <w:lang w:val="es-AR" w:eastAsia="es-AR"/>
        </w:rPr>
        <w:t xml:space="preserve">serán de aplicación a partir del 01 de </w:t>
      </w:r>
      <w:proofErr w:type="gramStart"/>
      <w:r w:rsidRPr="005B1DA6">
        <w:rPr>
          <w:b/>
          <w:u w:val="single"/>
          <w:lang w:val="es-AR" w:eastAsia="es-AR"/>
        </w:rPr>
        <w:t>Marzo</w:t>
      </w:r>
      <w:proofErr w:type="gramEnd"/>
      <w:r w:rsidRPr="005B1DA6">
        <w:rPr>
          <w:b/>
          <w:u w:val="single"/>
          <w:lang w:val="es-AR" w:eastAsia="es-AR"/>
        </w:rPr>
        <w:t xml:space="preserve"> del 2023</w:t>
      </w:r>
      <w:r>
        <w:rPr>
          <w:lang w:val="es-AR" w:eastAsia="es-AR"/>
        </w:rPr>
        <w:t>, de acuerdo con lo establecido por el Art. 1 de la RG 09/2023.</w:t>
      </w:r>
    </w:p>
    <w:p w:rsidR="00120C04" w:rsidRDefault="00120C04" w:rsidP="00AB3503">
      <w:pPr>
        <w:pStyle w:val="Textoindependiente"/>
        <w:widowControl w:val="0"/>
        <w:tabs>
          <w:tab w:val="left" w:pos="9356"/>
        </w:tabs>
        <w:ind w:right="23"/>
        <w:rPr>
          <w:lang w:val="es-AR"/>
        </w:rPr>
      </w:pPr>
    </w:p>
    <w:p w:rsidR="00B01796" w:rsidRDefault="00B01796" w:rsidP="00AB3503">
      <w:pPr>
        <w:pStyle w:val="Textoindependiente"/>
        <w:widowControl w:val="0"/>
        <w:tabs>
          <w:tab w:val="left" w:pos="9356"/>
        </w:tabs>
        <w:ind w:right="23"/>
        <w:rPr>
          <w:lang w:val="es-AR"/>
        </w:rPr>
      </w:pPr>
    </w:p>
    <w:p w:rsidR="00C252FE" w:rsidRDefault="00C252FE" w:rsidP="00AB3503">
      <w:pPr>
        <w:pStyle w:val="Textoindependiente"/>
        <w:widowControl w:val="0"/>
        <w:tabs>
          <w:tab w:val="left" w:pos="9356"/>
        </w:tabs>
        <w:ind w:right="23"/>
        <w:rPr>
          <w:lang w:val="es-AR"/>
        </w:rPr>
      </w:pPr>
    </w:p>
    <w:p w:rsidR="00C252FE" w:rsidRDefault="00C252FE" w:rsidP="00AB3503">
      <w:pPr>
        <w:pStyle w:val="Textoindependiente"/>
        <w:widowControl w:val="0"/>
        <w:tabs>
          <w:tab w:val="left" w:pos="9356"/>
        </w:tabs>
        <w:ind w:right="23"/>
        <w:rPr>
          <w:lang w:val="es-AR"/>
        </w:rPr>
      </w:pPr>
    </w:p>
    <w:p w:rsidR="00FC3695" w:rsidRDefault="00FC3695" w:rsidP="00AB3503">
      <w:pPr>
        <w:pStyle w:val="Textoindependiente"/>
        <w:widowControl w:val="0"/>
        <w:tabs>
          <w:tab w:val="left" w:pos="9356"/>
        </w:tabs>
        <w:ind w:right="23"/>
        <w:rPr>
          <w:lang w:val="es-AR"/>
        </w:rPr>
      </w:pPr>
    </w:p>
    <w:p w:rsidR="00AB3503" w:rsidRPr="00AB3503" w:rsidRDefault="00147664" w:rsidP="00AB3503">
      <w:pPr>
        <w:pStyle w:val="Textoindependiente"/>
        <w:widowControl w:val="0"/>
        <w:tabs>
          <w:tab w:val="left" w:pos="9356"/>
        </w:tabs>
        <w:ind w:right="23"/>
        <w:rPr>
          <w:lang w:val="es-AR"/>
        </w:rPr>
      </w:pPr>
      <w:r>
        <w:rPr>
          <w:lang w:val="es-AR"/>
        </w:rPr>
        <w:t xml:space="preserve">Ciudad Autónoma de </w:t>
      </w:r>
      <w:r w:rsidR="00146662">
        <w:rPr>
          <w:lang w:val="es-AR"/>
        </w:rPr>
        <w:t xml:space="preserve">Buenos Aires, </w:t>
      </w:r>
      <w:r w:rsidR="00E30088">
        <w:rPr>
          <w:lang w:val="es-AR"/>
        </w:rPr>
        <w:t>15</w:t>
      </w:r>
      <w:r w:rsidR="005B1DA6">
        <w:rPr>
          <w:lang w:val="es-AR"/>
        </w:rPr>
        <w:t xml:space="preserve"> </w:t>
      </w:r>
      <w:r w:rsidR="00DE589A">
        <w:rPr>
          <w:lang w:val="es-AR"/>
        </w:rPr>
        <w:t xml:space="preserve">de </w:t>
      </w:r>
      <w:proofErr w:type="gramStart"/>
      <w:r w:rsidR="006407E7">
        <w:rPr>
          <w:lang w:val="es-AR"/>
        </w:rPr>
        <w:t>Febrero</w:t>
      </w:r>
      <w:proofErr w:type="gramEnd"/>
      <w:r>
        <w:rPr>
          <w:lang w:val="es-AR"/>
        </w:rPr>
        <w:t xml:space="preserve"> </w:t>
      </w:r>
      <w:r w:rsidR="0010692C">
        <w:rPr>
          <w:lang w:val="es-AR"/>
        </w:rPr>
        <w:t>de 202</w:t>
      </w:r>
      <w:r w:rsidR="00064953">
        <w:rPr>
          <w:lang w:val="es-AR"/>
        </w:rPr>
        <w:t>3</w:t>
      </w:r>
      <w:r w:rsidR="00AB3503">
        <w:rPr>
          <w:lang w:val="es-AR"/>
        </w:rPr>
        <w:t>.</w:t>
      </w:r>
    </w:p>
    <w:sectPr w:rsidR="00AB3503" w:rsidRPr="00AB3503" w:rsidSect="00311E47">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4A9" w:rsidRDefault="00D914A9" w:rsidP="00735D3C">
      <w:r>
        <w:separator/>
      </w:r>
    </w:p>
  </w:endnote>
  <w:endnote w:type="continuationSeparator" w:id="0">
    <w:p w:rsidR="00D914A9" w:rsidRDefault="00D914A9" w:rsidP="0073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4A9" w:rsidRDefault="00D914A9" w:rsidP="00735D3C">
      <w:r>
        <w:separator/>
      </w:r>
    </w:p>
  </w:footnote>
  <w:footnote w:type="continuationSeparator" w:id="0">
    <w:p w:rsidR="00D914A9" w:rsidRDefault="00D914A9" w:rsidP="00735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64" w:rsidRDefault="00147664" w:rsidP="00362E15">
    <w:pPr>
      <w:pStyle w:val="Encabezado"/>
      <w:pBdr>
        <w:bottom w:val="single" w:sz="12" w:space="1" w:color="000080"/>
      </w:pBdr>
      <w:jc w:val="right"/>
      <w:rPr>
        <w:b/>
        <w:color w:val="000080"/>
      </w:rPr>
    </w:pPr>
    <w:r>
      <w:rPr>
        <w:b/>
        <w:color w:val="000080"/>
      </w:rPr>
      <w:t>FABETTI, BERTANI &amp; ASOCIADOS</w:t>
    </w:r>
  </w:p>
  <w:p w:rsidR="00147664" w:rsidRDefault="001476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005"/>
    <w:multiLevelType w:val="hybridMultilevel"/>
    <w:tmpl w:val="888AB0C6"/>
    <w:lvl w:ilvl="0" w:tplc="B278387E">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F262F71"/>
    <w:multiLevelType w:val="hybridMultilevel"/>
    <w:tmpl w:val="968026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F3699A"/>
    <w:multiLevelType w:val="hybridMultilevel"/>
    <w:tmpl w:val="8A0C5E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D06AC7"/>
    <w:multiLevelType w:val="hybridMultilevel"/>
    <w:tmpl w:val="46489DBA"/>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CE63FE"/>
    <w:multiLevelType w:val="hybridMultilevel"/>
    <w:tmpl w:val="E4901AE6"/>
    <w:lvl w:ilvl="0" w:tplc="0C0A000B">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5" w15:restartNumberingAfterBreak="0">
    <w:nsid w:val="3DCD0FE7"/>
    <w:multiLevelType w:val="hybridMultilevel"/>
    <w:tmpl w:val="0178AFC2"/>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BE60B6"/>
    <w:multiLevelType w:val="hybridMultilevel"/>
    <w:tmpl w:val="8D300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4901A8"/>
    <w:multiLevelType w:val="hybridMultilevel"/>
    <w:tmpl w:val="C7BAD974"/>
    <w:lvl w:ilvl="0" w:tplc="D1DEE92A">
      <w:start w:val="1"/>
      <w:numFmt w:val="decimal"/>
      <w:lvlText w:val="%1."/>
      <w:lvlJc w:val="left"/>
      <w:pPr>
        <w:ind w:left="786" w:hanging="360"/>
      </w:pPr>
      <w:rPr>
        <w:rFonts w:hint="default"/>
      </w:rPr>
    </w:lvl>
    <w:lvl w:ilvl="1" w:tplc="B92071A8">
      <w:numFmt w:val="bullet"/>
      <w:lvlText w:val="-"/>
      <w:lvlJc w:val="left"/>
      <w:pPr>
        <w:ind w:left="1506" w:hanging="360"/>
      </w:pPr>
      <w:rPr>
        <w:rFonts w:ascii="Times New Roman" w:eastAsia="Times New Roman" w:hAnsi="Times New Roman" w:cs="Times New Roman"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58993BD9"/>
    <w:multiLevelType w:val="hybridMultilevel"/>
    <w:tmpl w:val="568EE9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2103A3"/>
    <w:multiLevelType w:val="hybridMultilevel"/>
    <w:tmpl w:val="8BE8C28E"/>
    <w:lvl w:ilvl="0" w:tplc="0C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1" w15:restartNumberingAfterBreak="0">
    <w:nsid w:val="5EE53A3A"/>
    <w:multiLevelType w:val="hybridMultilevel"/>
    <w:tmpl w:val="DDD82E70"/>
    <w:lvl w:ilvl="0" w:tplc="FEA6CD4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3" w15:restartNumberingAfterBreak="0">
    <w:nsid w:val="62BC03BE"/>
    <w:multiLevelType w:val="hybridMultilevel"/>
    <w:tmpl w:val="709A5162"/>
    <w:lvl w:ilvl="0" w:tplc="6DF834A0">
      <w:start w:val="1"/>
      <w:numFmt w:val="low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C14162"/>
    <w:multiLevelType w:val="hybridMultilevel"/>
    <w:tmpl w:val="03367B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3FE33F3"/>
    <w:multiLevelType w:val="hybridMultilevel"/>
    <w:tmpl w:val="42A2BF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7"/>
  </w:num>
  <w:num w:numId="3">
    <w:abstractNumId w:val="15"/>
  </w:num>
  <w:num w:numId="4">
    <w:abstractNumId w:val="6"/>
  </w:num>
  <w:num w:numId="5">
    <w:abstractNumId w:val="13"/>
  </w:num>
  <w:num w:numId="6">
    <w:abstractNumId w:val="8"/>
  </w:num>
  <w:num w:numId="7">
    <w:abstractNumId w:val="3"/>
  </w:num>
  <w:num w:numId="8">
    <w:abstractNumId w:val="10"/>
  </w:num>
  <w:num w:numId="9">
    <w:abstractNumId w:val="11"/>
  </w:num>
  <w:num w:numId="10">
    <w:abstractNumId w:val="2"/>
  </w:num>
  <w:num w:numId="11">
    <w:abstractNumId w:val="1"/>
  </w:num>
  <w:num w:numId="12">
    <w:abstractNumId w:val="5"/>
  </w:num>
  <w:num w:numId="13">
    <w:abstractNumId w:val="9"/>
  </w:num>
  <w:num w:numId="14">
    <w:abstractNumId w:val="4"/>
  </w:num>
  <w:num w:numId="15">
    <w:abstractNumId w:val="14"/>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742B"/>
    <w:rsid w:val="00002B02"/>
    <w:rsid w:val="000219F3"/>
    <w:rsid w:val="00035F54"/>
    <w:rsid w:val="0005100E"/>
    <w:rsid w:val="00064953"/>
    <w:rsid w:val="000807D6"/>
    <w:rsid w:val="000D2009"/>
    <w:rsid w:val="000F2E2D"/>
    <w:rsid w:val="0010692C"/>
    <w:rsid w:val="00120C04"/>
    <w:rsid w:val="00143788"/>
    <w:rsid w:val="00146662"/>
    <w:rsid w:val="00147664"/>
    <w:rsid w:val="0015207F"/>
    <w:rsid w:val="001542E1"/>
    <w:rsid w:val="00162477"/>
    <w:rsid w:val="00167587"/>
    <w:rsid w:val="0018232D"/>
    <w:rsid w:val="001A5E1E"/>
    <w:rsid w:val="001B28FB"/>
    <w:rsid w:val="001D4F89"/>
    <w:rsid w:val="001E41D9"/>
    <w:rsid w:val="00220BBB"/>
    <w:rsid w:val="002224D5"/>
    <w:rsid w:val="00233DE8"/>
    <w:rsid w:val="00247E00"/>
    <w:rsid w:val="00261593"/>
    <w:rsid w:val="0027264C"/>
    <w:rsid w:val="002A633D"/>
    <w:rsid w:val="002B6B01"/>
    <w:rsid w:val="002B713F"/>
    <w:rsid w:val="002C6500"/>
    <w:rsid w:val="002E1608"/>
    <w:rsid w:val="00311E47"/>
    <w:rsid w:val="003276BC"/>
    <w:rsid w:val="00360928"/>
    <w:rsid w:val="00362E15"/>
    <w:rsid w:val="00377A0E"/>
    <w:rsid w:val="00397996"/>
    <w:rsid w:val="003A3111"/>
    <w:rsid w:val="003C3914"/>
    <w:rsid w:val="003D2AA3"/>
    <w:rsid w:val="0042707E"/>
    <w:rsid w:val="0043139A"/>
    <w:rsid w:val="004327EB"/>
    <w:rsid w:val="0046637C"/>
    <w:rsid w:val="00493C7B"/>
    <w:rsid w:val="004A0634"/>
    <w:rsid w:val="004E79C6"/>
    <w:rsid w:val="0050555F"/>
    <w:rsid w:val="0050753D"/>
    <w:rsid w:val="00507E57"/>
    <w:rsid w:val="00516152"/>
    <w:rsid w:val="005312D4"/>
    <w:rsid w:val="00552F23"/>
    <w:rsid w:val="00595F97"/>
    <w:rsid w:val="005A2F93"/>
    <w:rsid w:val="005B1DA6"/>
    <w:rsid w:val="005B7CAC"/>
    <w:rsid w:val="005D12C1"/>
    <w:rsid w:val="005E3C71"/>
    <w:rsid w:val="006407E7"/>
    <w:rsid w:val="00650289"/>
    <w:rsid w:val="00652EAD"/>
    <w:rsid w:val="00687D5C"/>
    <w:rsid w:val="006B1C4A"/>
    <w:rsid w:val="006C47D1"/>
    <w:rsid w:val="006C713E"/>
    <w:rsid w:val="00714BE5"/>
    <w:rsid w:val="007232A8"/>
    <w:rsid w:val="00725F46"/>
    <w:rsid w:val="00735D3C"/>
    <w:rsid w:val="00741DE0"/>
    <w:rsid w:val="00756AD4"/>
    <w:rsid w:val="00757439"/>
    <w:rsid w:val="0078205D"/>
    <w:rsid w:val="007A4DBF"/>
    <w:rsid w:val="007C03CD"/>
    <w:rsid w:val="007C0C01"/>
    <w:rsid w:val="007D17B0"/>
    <w:rsid w:val="007D21E7"/>
    <w:rsid w:val="007D4997"/>
    <w:rsid w:val="007E1572"/>
    <w:rsid w:val="007E2EE1"/>
    <w:rsid w:val="007E7EA8"/>
    <w:rsid w:val="008110EC"/>
    <w:rsid w:val="008116BE"/>
    <w:rsid w:val="008333EE"/>
    <w:rsid w:val="00844098"/>
    <w:rsid w:val="0086096A"/>
    <w:rsid w:val="00867949"/>
    <w:rsid w:val="0087115F"/>
    <w:rsid w:val="00880D84"/>
    <w:rsid w:val="00881887"/>
    <w:rsid w:val="00892CE3"/>
    <w:rsid w:val="008D1BF9"/>
    <w:rsid w:val="008D3CC4"/>
    <w:rsid w:val="008D6853"/>
    <w:rsid w:val="008E180A"/>
    <w:rsid w:val="008E6C3F"/>
    <w:rsid w:val="008F2287"/>
    <w:rsid w:val="0092675E"/>
    <w:rsid w:val="0093202F"/>
    <w:rsid w:val="00945CBE"/>
    <w:rsid w:val="009568A7"/>
    <w:rsid w:val="009608D5"/>
    <w:rsid w:val="00960C02"/>
    <w:rsid w:val="009724B5"/>
    <w:rsid w:val="00975183"/>
    <w:rsid w:val="00990C14"/>
    <w:rsid w:val="009B088B"/>
    <w:rsid w:val="009B3327"/>
    <w:rsid w:val="009D0541"/>
    <w:rsid w:val="009F1430"/>
    <w:rsid w:val="00A10DEF"/>
    <w:rsid w:val="00A15CA4"/>
    <w:rsid w:val="00A345F3"/>
    <w:rsid w:val="00A37630"/>
    <w:rsid w:val="00A61D00"/>
    <w:rsid w:val="00A82A33"/>
    <w:rsid w:val="00A92D07"/>
    <w:rsid w:val="00AB2E77"/>
    <w:rsid w:val="00AB3503"/>
    <w:rsid w:val="00AC0FAD"/>
    <w:rsid w:val="00AE03B7"/>
    <w:rsid w:val="00B01796"/>
    <w:rsid w:val="00B14909"/>
    <w:rsid w:val="00B1530A"/>
    <w:rsid w:val="00B262E9"/>
    <w:rsid w:val="00B41949"/>
    <w:rsid w:val="00B653A0"/>
    <w:rsid w:val="00B820A8"/>
    <w:rsid w:val="00B87878"/>
    <w:rsid w:val="00BB3BC6"/>
    <w:rsid w:val="00BC3ADD"/>
    <w:rsid w:val="00BC7AA5"/>
    <w:rsid w:val="00BD54BA"/>
    <w:rsid w:val="00BF55C9"/>
    <w:rsid w:val="00C252FE"/>
    <w:rsid w:val="00C30657"/>
    <w:rsid w:val="00C4130E"/>
    <w:rsid w:val="00C60AC1"/>
    <w:rsid w:val="00C74317"/>
    <w:rsid w:val="00CA11D3"/>
    <w:rsid w:val="00CB0B82"/>
    <w:rsid w:val="00CB4DC0"/>
    <w:rsid w:val="00CB5455"/>
    <w:rsid w:val="00CC15E8"/>
    <w:rsid w:val="00CC331C"/>
    <w:rsid w:val="00CE459B"/>
    <w:rsid w:val="00CE526B"/>
    <w:rsid w:val="00D105CD"/>
    <w:rsid w:val="00D10F19"/>
    <w:rsid w:val="00D131B9"/>
    <w:rsid w:val="00D245AD"/>
    <w:rsid w:val="00D25567"/>
    <w:rsid w:val="00D362DD"/>
    <w:rsid w:val="00D3742B"/>
    <w:rsid w:val="00D50EC9"/>
    <w:rsid w:val="00D5296C"/>
    <w:rsid w:val="00D628F2"/>
    <w:rsid w:val="00D6552A"/>
    <w:rsid w:val="00D66D3D"/>
    <w:rsid w:val="00D77971"/>
    <w:rsid w:val="00D82819"/>
    <w:rsid w:val="00D909B7"/>
    <w:rsid w:val="00D910D9"/>
    <w:rsid w:val="00D914A9"/>
    <w:rsid w:val="00DC379A"/>
    <w:rsid w:val="00DD2B6A"/>
    <w:rsid w:val="00DE589A"/>
    <w:rsid w:val="00DF3795"/>
    <w:rsid w:val="00DF5235"/>
    <w:rsid w:val="00E0089B"/>
    <w:rsid w:val="00E02442"/>
    <w:rsid w:val="00E16F95"/>
    <w:rsid w:val="00E176FD"/>
    <w:rsid w:val="00E30088"/>
    <w:rsid w:val="00EB1A1B"/>
    <w:rsid w:val="00EB2B6D"/>
    <w:rsid w:val="00EC159E"/>
    <w:rsid w:val="00EE20AC"/>
    <w:rsid w:val="00EF1101"/>
    <w:rsid w:val="00F032F1"/>
    <w:rsid w:val="00F13801"/>
    <w:rsid w:val="00F21D4B"/>
    <w:rsid w:val="00F273FF"/>
    <w:rsid w:val="00F530EA"/>
    <w:rsid w:val="00F61373"/>
    <w:rsid w:val="00F75327"/>
    <w:rsid w:val="00FB7538"/>
    <w:rsid w:val="00FC3695"/>
    <w:rsid w:val="00FD58C5"/>
    <w:rsid w:val="00FE7F3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26CB"/>
  <w15:docId w15:val="{E8BC95F2-A0F1-4B2D-9C3B-426E2D9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587"/>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paragraph" w:customStyle="1" w:styleId="errepar1erfrancesnovedades">
    <w:name w:val="errepar_1erfrancesnovedades"/>
    <w:basedOn w:val="Normal"/>
    <w:rsid w:val="004A0634"/>
    <w:pPr>
      <w:spacing w:before="100" w:beforeAutospacing="1" w:after="100" w:afterAutospacing="1"/>
    </w:pPr>
    <w:rPr>
      <w:szCs w:val="24"/>
      <w:lang w:val="es-ES"/>
    </w:rPr>
  </w:style>
  <w:style w:type="paragraph" w:customStyle="1" w:styleId="errepar2dofrancesnovedades">
    <w:name w:val="errepar_2dofrancesnovedades"/>
    <w:basedOn w:val="Normal"/>
    <w:rsid w:val="004A0634"/>
    <w:pPr>
      <w:spacing w:before="100" w:beforeAutospacing="1" w:after="100" w:afterAutospacing="1"/>
    </w:pPr>
    <w:rPr>
      <w:szCs w:val="24"/>
      <w:lang w:val="es-ES"/>
    </w:rPr>
  </w:style>
  <w:style w:type="character" w:customStyle="1" w:styleId="negritanovedades">
    <w:name w:val="negritanovedades"/>
    <w:basedOn w:val="Fuentedeprrafopredeter"/>
    <w:rsid w:val="00143788"/>
  </w:style>
  <w:style w:type="table" w:styleId="Tablaconcuadrcula">
    <w:name w:val="Table Grid"/>
    <w:basedOn w:val="Tablanormal"/>
    <w:uiPriority w:val="59"/>
    <w:rsid w:val="00A3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630"/>
    <w:pPr>
      <w:autoSpaceDE w:val="0"/>
      <w:autoSpaceDN w:val="0"/>
      <w:adjustRightInd w:val="0"/>
      <w:spacing w:after="0" w:line="240" w:lineRule="auto"/>
    </w:pPr>
    <w:rPr>
      <w:rFonts w:ascii="Verdana" w:hAnsi="Verdana" w:cs="Verdana"/>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45685778">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30023942">
      <w:bodyDiv w:val="1"/>
      <w:marLeft w:val="0"/>
      <w:marRight w:val="0"/>
      <w:marTop w:val="0"/>
      <w:marBottom w:val="0"/>
      <w:divBdr>
        <w:top w:val="none" w:sz="0" w:space="0" w:color="auto"/>
        <w:left w:val="none" w:sz="0" w:space="0" w:color="auto"/>
        <w:bottom w:val="none" w:sz="0" w:space="0" w:color="auto"/>
        <w:right w:val="none" w:sz="0" w:space="0" w:color="auto"/>
      </w:divBdr>
    </w:div>
    <w:div w:id="159009572">
      <w:bodyDiv w:val="1"/>
      <w:marLeft w:val="0"/>
      <w:marRight w:val="0"/>
      <w:marTop w:val="0"/>
      <w:marBottom w:val="0"/>
      <w:divBdr>
        <w:top w:val="none" w:sz="0" w:space="0" w:color="auto"/>
        <w:left w:val="none" w:sz="0" w:space="0" w:color="auto"/>
        <w:bottom w:val="none" w:sz="0" w:space="0" w:color="auto"/>
        <w:right w:val="none" w:sz="0" w:space="0" w:color="auto"/>
      </w:divBdr>
    </w:div>
    <w:div w:id="167673018">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554203815">
      <w:bodyDiv w:val="1"/>
      <w:marLeft w:val="0"/>
      <w:marRight w:val="0"/>
      <w:marTop w:val="0"/>
      <w:marBottom w:val="0"/>
      <w:divBdr>
        <w:top w:val="none" w:sz="0" w:space="0" w:color="auto"/>
        <w:left w:val="none" w:sz="0" w:space="0" w:color="auto"/>
        <w:bottom w:val="none" w:sz="0" w:space="0" w:color="auto"/>
        <w:right w:val="none" w:sz="0" w:space="0" w:color="auto"/>
      </w:divBdr>
    </w:div>
    <w:div w:id="583297256">
      <w:bodyDiv w:val="1"/>
      <w:marLeft w:val="0"/>
      <w:marRight w:val="0"/>
      <w:marTop w:val="0"/>
      <w:marBottom w:val="0"/>
      <w:divBdr>
        <w:top w:val="none" w:sz="0" w:space="0" w:color="auto"/>
        <w:left w:val="none" w:sz="0" w:space="0" w:color="auto"/>
        <w:bottom w:val="none" w:sz="0" w:space="0" w:color="auto"/>
        <w:right w:val="none" w:sz="0" w:space="0" w:color="auto"/>
      </w:divBdr>
    </w:div>
    <w:div w:id="722827280">
      <w:bodyDiv w:val="1"/>
      <w:marLeft w:val="0"/>
      <w:marRight w:val="0"/>
      <w:marTop w:val="0"/>
      <w:marBottom w:val="0"/>
      <w:divBdr>
        <w:top w:val="none" w:sz="0" w:space="0" w:color="auto"/>
        <w:left w:val="none" w:sz="0" w:space="0" w:color="auto"/>
        <w:bottom w:val="none" w:sz="0" w:space="0" w:color="auto"/>
        <w:right w:val="none" w:sz="0" w:space="0" w:color="auto"/>
      </w:divBdr>
    </w:div>
    <w:div w:id="723413671">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913979066">
      <w:bodyDiv w:val="1"/>
      <w:marLeft w:val="0"/>
      <w:marRight w:val="0"/>
      <w:marTop w:val="0"/>
      <w:marBottom w:val="0"/>
      <w:divBdr>
        <w:top w:val="none" w:sz="0" w:space="0" w:color="auto"/>
        <w:left w:val="none" w:sz="0" w:space="0" w:color="auto"/>
        <w:bottom w:val="none" w:sz="0" w:space="0" w:color="auto"/>
        <w:right w:val="none" w:sz="0" w:space="0" w:color="auto"/>
      </w:divBdr>
    </w:div>
    <w:div w:id="999894959">
      <w:bodyDiv w:val="1"/>
      <w:marLeft w:val="0"/>
      <w:marRight w:val="0"/>
      <w:marTop w:val="0"/>
      <w:marBottom w:val="0"/>
      <w:divBdr>
        <w:top w:val="none" w:sz="0" w:space="0" w:color="auto"/>
        <w:left w:val="none" w:sz="0" w:space="0" w:color="auto"/>
        <w:bottom w:val="none" w:sz="0" w:space="0" w:color="auto"/>
        <w:right w:val="none" w:sz="0" w:space="0" w:color="auto"/>
      </w:divBdr>
    </w:div>
    <w:div w:id="1053164943">
      <w:bodyDiv w:val="1"/>
      <w:marLeft w:val="0"/>
      <w:marRight w:val="0"/>
      <w:marTop w:val="0"/>
      <w:marBottom w:val="0"/>
      <w:divBdr>
        <w:top w:val="none" w:sz="0" w:space="0" w:color="auto"/>
        <w:left w:val="none" w:sz="0" w:space="0" w:color="auto"/>
        <w:bottom w:val="none" w:sz="0" w:space="0" w:color="auto"/>
        <w:right w:val="none" w:sz="0" w:space="0" w:color="auto"/>
      </w:divBdr>
    </w:div>
    <w:div w:id="1273049146">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64020069">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61918219">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484278583">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531069243">
      <w:bodyDiv w:val="1"/>
      <w:marLeft w:val="0"/>
      <w:marRight w:val="0"/>
      <w:marTop w:val="0"/>
      <w:marBottom w:val="0"/>
      <w:divBdr>
        <w:top w:val="none" w:sz="0" w:space="0" w:color="auto"/>
        <w:left w:val="none" w:sz="0" w:space="0" w:color="auto"/>
        <w:bottom w:val="none" w:sz="0" w:space="0" w:color="auto"/>
        <w:right w:val="none" w:sz="0" w:space="0" w:color="auto"/>
      </w:divBdr>
    </w:div>
    <w:div w:id="1543446894">
      <w:bodyDiv w:val="1"/>
      <w:marLeft w:val="0"/>
      <w:marRight w:val="0"/>
      <w:marTop w:val="0"/>
      <w:marBottom w:val="0"/>
      <w:divBdr>
        <w:top w:val="none" w:sz="0" w:space="0" w:color="auto"/>
        <w:left w:val="none" w:sz="0" w:space="0" w:color="auto"/>
        <w:bottom w:val="none" w:sz="0" w:space="0" w:color="auto"/>
        <w:right w:val="none" w:sz="0" w:space="0" w:color="auto"/>
      </w:divBdr>
    </w:div>
    <w:div w:id="1576863256">
      <w:bodyDiv w:val="1"/>
      <w:marLeft w:val="0"/>
      <w:marRight w:val="0"/>
      <w:marTop w:val="0"/>
      <w:marBottom w:val="0"/>
      <w:divBdr>
        <w:top w:val="none" w:sz="0" w:space="0" w:color="auto"/>
        <w:left w:val="none" w:sz="0" w:space="0" w:color="auto"/>
        <w:bottom w:val="none" w:sz="0" w:space="0" w:color="auto"/>
        <w:right w:val="none" w:sz="0" w:space="0" w:color="auto"/>
      </w:divBdr>
    </w:div>
    <w:div w:id="1589656240">
      <w:bodyDiv w:val="1"/>
      <w:marLeft w:val="0"/>
      <w:marRight w:val="0"/>
      <w:marTop w:val="0"/>
      <w:marBottom w:val="0"/>
      <w:divBdr>
        <w:top w:val="none" w:sz="0" w:space="0" w:color="auto"/>
        <w:left w:val="none" w:sz="0" w:space="0" w:color="auto"/>
        <w:bottom w:val="none" w:sz="0" w:space="0" w:color="auto"/>
        <w:right w:val="none" w:sz="0" w:space="0" w:color="auto"/>
      </w:divBdr>
    </w:div>
    <w:div w:id="1673751805">
      <w:bodyDiv w:val="1"/>
      <w:marLeft w:val="0"/>
      <w:marRight w:val="0"/>
      <w:marTop w:val="0"/>
      <w:marBottom w:val="0"/>
      <w:divBdr>
        <w:top w:val="none" w:sz="0" w:space="0" w:color="auto"/>
        <w:left w:val="none" w:sz="0" w:space="0" w:color="auto"/>
        <w:bottom w:val="none" w:sz="0" w:space="0" w:color="auto"/>
        <w:right w:val="none" w:sz="0" w:space="0" w:color="auto"/>
      </w:divBdr>
    </w:div>
    <w:div w:id="1815566522">
      <w:bodyDiv w:val="1"/>
      <w:marLeft w:val="0"/>
      <w:marRight w:val="0"/>
      <w:marTop w:val="0"/>
      <w:marBottom w:val="0"/>
      <w:divBdr>
        <w:top w:val="none" w:sz="0" w:space="0" w:color="auto"/>
        <w:left w:val="none" w:sz="0" w:space="0" w:color="auto"/>
        <w:bottom w:val="none" w:sz="0" w:space="0" w:color="auto"/>
        <w:right w:val="none" w:sz="0" w:space="0" w:color="auto"/>
      </w:divBdr>
    </w:div>
    <w:div w:id="1875921819">
      <w:bodyDiv w:val="1"/>
      <w:marLeft w:val="0"/>
      <w:marRight w:val="0"/>
      <w:marTop w:val="0"/>
      <w:marBottom w:val="0"/>
      <w:divBdr>
        <w:top w:val="none" w:sz="0" w:space="0" w:color="auto"/>
        <w:left w:val="none" w:sz="0" w:space="0" w:color="auto"/>
        <w:bottom w:val="none" w:sz="0" w:space="0" w:color="auto"/>
        <w:right w:val="none" w:sz="0" w:space="0" w:color="auto"/>
      </w:divBdr>
    </w:div>
    <w:div w:id="1917129963">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9972-EAE0-46EA-BCFC-F6F0CDC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937</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dgaribaldi</dc:creator>
  <cp:lastModifiedBy>Daniela Capuzzi</cp:lastModifiedBy>
  <cp:revision>22</cp:revision>
  <cp:lastPrinted>2019-10-02T15:32:00Z</cp:lastPrinted>
  <dcterms:created xsi:type="dcterms:W3CDTF">2020-04-20T15:02:00Z</dcterms:created>
  <dcterms:modified xsi:type="dcterms:W3CDTF">2023-02-15T20:18:00Z</dcterms:modified>
</cp:coreProperties>
</file>