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CD379" w14:textId="7BAFD283" w:rsidR="003073B8" w:rsidRPr="003073B8" w:rsidRDefault="003073B8" w:rsidP="003073B8">
      <w:pPr>
        <w:pStyle w:val="Ttulo1"/>
        <w:jc w:val="both"/>
        <w:rPr>
          <w:szCs w:val="24"/>
          <w:u w:val="single"/>
          <w:lang w:val="es-AR"/>
        </w:rPr>
      </w:pPr>
      <w:r>
        <w:rPr>
          <w:szCs w:val="24"/>
          <w:u w:val="single"/>
          <w:lang w:val="es-AR"/>
        </w:rPr>
        <w:t xml:space="preserve">CIRCULAR IMPOSITIVA NRO. </w:t>
      </w:r>
      <w:r w:rsidR="0027457E">
        <w:rPr>
          <w:szCs w:val="24"/>
          <w:u w:val="single"/>
          <w:lang w:val="es-AR"/>
        </w:rPr>
        <w:t>1141</w:t>
      </w:r>
    </w:p>
    <w:p w14:paraId="75299994" w14:textId="77777777" w:rsidR="003073B8" w:rsidRDefault="003073B8" w:rsidP="003073B8">
      <w:pPr>
        <w:pStyle w:val="Textoindependiente"/>
        <w:rPr>
          <w:szCs w:val="24"/>
          <w:u w:val="single"/>
        </w:rPr>
      </w:pPr>
    </w:p>
    <w:p w14:paraId="57F5ADB0" w14:textId="77777777" w:rsidR="003073B8" w:rsidRDefault="003073B8" w:rsidP="003073B8">
      <w:pPr>
        <w:pStyle w:val="Textoindependiente"/>
        <w:rPr>
          <w:szCs w:val="24"/>
          <w:u w:val="single"/>
        </w:rPr>
      </w:pPr>
    </w:p>
    <w:p w14:paraId="4FA92084" w14:textId="3A8D5C55" w:rsidR="003073B8" w:rsidRDefault="003073B8" w:rsidP="003073B8">
      <w:pPr>
        <w:jc w:val="both"/>
        <w:rPr>
          <w:b/>
          <w:i/>
          <w:sz w:val="24"/>
          <w:szCs w:val="24"/>
        </w:rPr>
      </w:pPr>
      <w:r>
        <w:rPr>
          <w:b/>
          <w:i/>
          <w:sz w:val="24"/>
          <w:szCs w:val="24"/>
        </w:rPr>
        <w:t>Ley 27.701</w:t>
      </w:r>
      <w:r w:rsidR="00C263FB">
        <w:rPr>
          <w:b/>
          <w:i/>
          <w:sz w:val="24"/>
          <w:szCs w:val="24"/>
        </w:rPr>
        <w:t xml:space="preserve"> – art. 72</w:t>
      </w:r>
    </w:p>
    <w:p w14:paraId="306E7503" w14:textId="19AED495" w:rsidR="00CE4E52" w:rsidRPr="00CE4E52" w:rsidRDefault="00CE4E52" w:rsidP="003073B8">
      <w:pPr>
        <w:jc w:val="both"/>
        <w:rPr>
          <w:b/>
          <w:i/>
          <w:sz w:val="24"/>
          <w:szCs w:val="24"/>
        </w:rPr>
      </w:pPr>
      <w:r w:rsidRPr="00CE4E52">
        <w:rPr>
          <w:b/>
          <w:i/>
          <w:sz w:val="24"/>
          <w:szCs w:val="24"/>
        </w:rPr>
        <w:t xml:space="preserve">Fecha de Norma: </w:t>
      </w:r>
      <w:r>
        <w:rPr>
          <w:b/>
          <w:i/>
          <w:sz w:val="24"/>
          <w:szCs w:val="24"/>
        </w:rPr>
        <w:t>16</w:t>
      </w:r>
      <w:r w:rsidRPr="00CE4E52">
        <w:rPr>
          <w:b/>
          <w:i/>
          <w:sz w:val="24"/>
          <w:szCs w:val="24"/>
        </w:rPr>
        <w:t>/</w:t>
      </w:r>
      <w:r>
        <w:rPr>
          <w:b/>
          <w:i/>
          <w:sz w:val="24"/>
          <w:szCs w:val="24"/>
        </w:rPr>
        <w:t>11</w:t>
      </w:r>
      <w:r w:rsidRPr="00CE4E52">
        <w:rPr>
          <w:b/>
          <w:i/>
          <w:sz w:val="24"/>
          <w:szCs w:val="24"/>
        </w:rPr>
        <w:t>/2022</w:t>
      </w:r>
    </w:p>
    <w:p w14:paraId="26513AC0" w14:textId="7504BD99" w:rsidR="003073B8" w:rsidRDefault="00CE4E52" w:rsidP="003073B8">
      <w:pPr>
        <w:pStyle w:val="Ttulo5"/>
        <w:widowControl/>
        <w:jc w:val="both"/>
        <w:rPr>
          <w:b/>
          <w:i/>
          <w:lang w:val="es-ES_tradnl" w:eastAsia="es-ES"/>
        </w:rPr>
      </w:pPr>
      <w:r>
        <w:rPr>
          <w:b/>
          <w:i/>
          <w:lang w:val="es-ES_tradnl" w:eastAsia="es-ES"/>
        </w:rPr>
        <w:t xml:space="preserve">Fecha de </w:t>
      </w:r>
      <w:r w:rsidR="003073B8">
        <w:rPr>
          <w:b/>
          <w:i/>
          <w:lang w:val="es-ES_tradnl" w:eastAsia="es-ES"/>
        </w:rPr>
        <w:t>Boletín Oficial: 01/12/2022</w:t>
      </w:r>
    </w:p>
    <w:p w14:paraId="1547A694" w14:textId="77777777" w:rsidR="003073B8" w:rsidRDefault="003073B8" w:rsidP="003073B8">
      <w:pPr>
        <w:jc w:val="both"/>
      </w:pPr>
    </w:p>
    <w:p w14:paraId="78CE3289" w14:textId="628AFFD5" w:rsidR="003073B8" w:rsidRPr="003073B8" w:rsidRDefault="00F52F35" w:rsidP="003073B8">
      <w:pPr>
        <w:pStyle w:val="Textoindependiente"/>
        <w:rPr>
          <w:b/>
          <w:bCs/>
          <w:i/>
          <w:szCs w:val="24"/>
        </w:rPr>
      </w:pPr>
      <w:r>
        <w:rPr>
          <w:b/>
          <w:bCs/>
          <w:i/>
          <w:szCs w:val="24"/>
        </w:rPr>
        <w:t xml:space="preserve">Nuevo </w:t>
      </w:r>
      <w:r w:rsidR="003073B8">
        <w:rPr>
          <w:b/>
          <w:bCs/>
          <w:i/>
          <w:szCs w:val="24"/>
        </w:rPr>
        <w:t xml:space="preserve">Blanqueo de moneda extranjera </w:t>
      </w:r>
      <w:r w:rsidR="00C263FB">
        <w:rPr>
          <w:b/>
          <w:bCs/>
          <w:i/>
          <w:szCs w:val="24"/>
        </w:rPr>
        <w:t>en el país y en el exterior</w:t>
      </w:r>
      <w:r>
        <w:rPr>
          <w:b/>
          <w:bCs/>
          <w:i/>
          <w:szCs w:val="24"/>
        </w:rPr>
        <w:t xml:space="preserve"> para pago de importaciones</w:t>
      </w:r>
      <w:r w:rsidR="00C263FB">
        <w:rPr>
          <w:b/>
          <w:bCs/>
          <w:i/>
          <w:szCs w:val="24"/>
        </w:rPr>
        <w:t xml:space="preserve"> </w:t>
      </w:r>
      <w:r w:rsidR="003073B8">
        <w:rPr>
          <w:b/>
          <w:bCs/>
          <w:i/>
          <w:szCs w:val="24"/>
        </w:rPr>
        <w:t>– Incentivo a la inversión y producción argentina</w:t>
      </w:r>
    </w:p>
    <w:p w14:paraId="50FCA943" w14:textId="77777777" w:rsidR="003073B8" w:rsidRDefault="003073B8" w:rsidP="003073B8">
      <w:pPr>
        <w:pStyle w:val="Textoindependiente"/>
        <w:rPr>
          <w:szCs w:val="24"/>
          <w:u w:val="single"/>
        </w:rPr>
      </w:pPr>
    </w:p>
    <w:p w14:paraId="2660BAD6" w14:textId="77777777" w:rsidR="003073B8" w:rsidRDefault="003073B8" w:rsidP="003073B8">
      <w:pPr>
        <w:jc w:val="both"/>
        <w:rPr>
          <w:sz w:val="24"/>
          <w:szCs w:val="24"/>
          <w:highlight w:val="yellow"/>
        </w:rPr>
      </w:pPr>
    </w:p>
    <w:p w14:paraId="1B7CE12C" w14:textId="632DC5BD" w:rsidR="003073B8" w:rsidRPr="00003354" w:rsidRDefault="003073B8" w:rsidP="003073B8">
      <w:pPr>
        <w:jc w:val="both"/>
        <w:rPr>
          <w:sz w:val="24"/>
          <w:szCs w:val="24"/>
        </w:rPr>
      </w:pPr>
      <w:r w:rsidRPr="00003354">
        <w:rPr>
          <w:sz w:val="24"/>
          <w:szCs w:val="24"/>
        </w:rPr>
        <w:t>Créase el Régimen de Incentivo a la Inversión y Producción Argentina mediante el cual</w:t>
      </w:r>
      <w:r w:rsidR="00F52F35">
        <w:rPr>
          <w:sz w:val="24"/>
          <w:szCs w:val="24"/>
        </w:rPr>
        <w:t xml:space="preserve"> las personas humanas y jurídicas</w:t>
      </w:r>
      <w:r w:rsidRPr="00003354">
        <w:rPr>
          <w:sz w:val="24"/>
          <w:szCs w:val="24"/>
        </w:rPr>
        <w:t xml:space="preserve"> podrán declarar de manera voluntaria la tenencia de moneda extranjera en el país y en el exterior</w:t>
      </w:r>
      <w:r w:rsidR="001528EC" w:rsidRPr="00003354">
        <w:rPr>
          <w:sz w:val="24"/>
          <w:szCs w:val="24"/>
        </w:rPr>
        <w:t xml:space="preserve"> </w:t>
      </w:r>
      <w:r w:rsidRPr="00003354">
        <w:rPr>
          <w:sz w:val="24"/>
          <w:szCs w:val="24"/>
        </w:rPr>
        <w:t>dentro de un plazo que se extenderá desde la fecha de entrada en vigencia del presente régimen y hasta transcurrido el plazo de 360 días corridos desde aquel momento, inclusive.</w:t>
      </w:r>
    </w:p>
    <w:p w14:paraId="20D707F0" w14:textId="77777777" w:rsidR="003073B8" w:rsidRPr="00003354" w:rsidRDefault="003073B8" w:rsidP="003073B8">
      <w:pPr>
        <w:jc w:val="both"/>
        <w:rPr>
          <w:sz w:val="24"/>
          <w:szCs w:val="24"/>
        </w:rPr>
      </w:pPr>
    </w:p>
    <w:p w14:paraId="74584971" w14:textId="2C2D82C7" w:rsidR="003073B8" w:rsidRPr="00003354" w:rsidRDefault="003073B8" w:rsidP="003073B8">
      <w:pPr>
        <w:jc w:val="both"/>
        <w:rPr>
          <w:sz w:val="24"/>
          <w:szCs w:val="24"/>
        </w:rPr>
      </w:pPr>
      <w:r w:rsidRPr="00003354">
        <w:rPr>
          <w:sz w:val="24"/>
          <w:szCs w:val="24"/>
        </w:rPr>
        <w:t>La tenencia de moneda extranjera en el país y en el exterior que se exteriorice en los términos de este régimen es aquella que no hubiera sido declarada a la fecha de su entrada en vigencia</w:t>
      </w:r>
      <w:r w:rsidR="001528EC" w:rsidRPr="00003354">
        <w:rPr>
          <w:sz w:val="24"/>
          <w:szCs w:val="24"/>
        </w:rPr>
        <w:t>.</w:t>
      </w:r>
    </w:p>
    <w:p w14:paraId="7A066A49" w14:textId="77777777" w:rsidR="003073B8" w:rsidRPr="00003354" w:rsidRDefault="003073B8" w:rsidP="003073B8">
      <w:pPr>
        <w:jc w:val="both"/>
        <w:rPr>
          <w:sz w:val="24"/>
          <w:szCs w:val="24"/>
        </w:rPr>
      </w:pPr>
    </w:p>
    <w:p w14:paraId="3AC65153" w14:textId="67C122DC" w:rsidR="00C263FB" w:rsidRPr="00003354" w:rsidRDefault="00C263FB" w:rsidP="003073B8">
      <w:pPr>
        <w:jc w:val="both"/>
        <w:rPr>
          <w:sz w:val="24"/>
          <w:szCs w:val="24"/>
        </w:rPr>
      </w:pPr>
      <w:r w:rsidRPr="00003354">
        <w:rPr>
          <w:sz w:val="24"/>
          <w:szCs w:val="24"/>
        </w:rPr>
        <w:t>Los fondos incluidos en la declaración voluntaria de la moneda extranjera deberán depositarse en una Cuenta Especial de Depósito y Cancelación para la Inversión y Producción Argentina, en alguna de las entidades comprendidas en el régimen de la ley 21.526 y sus modificaciones, en la forma y en los plazos que establezcan la Administración Federal de Ingresos Públicos y el Banco Central de la República Argentina.</w:t>
      </w:r>
    </w:p>
    <w:p w14:paraId="32E8FDE1" w14:textId="77777777" w:rsidR="00C263FB" w:rsidRPr="00003354" w:rsidRDefault="00C263FB" w:rsidP="003073B8">
      <w:pPr>
        <w:jc w:val="both"/>
        <w:rPr>
          <w:sz w:val="24"/>
          <w:szCs w:val="24"/>
        </w:rPr>
      </w:pPr>
    </w:p>
    <w:p w14:paraId="469D518E" w14:textId="652AB830" w:rsidR="003073B8" w:rsidRPr="00003354" w:rsidRDefault="003073B8" w:rsidP="003073B8">
      <w:pPr>
        <w:jc w:val="both"/>
        <w:rPr>
          <w:sz w:val="24"/>
          <w:szCs w:val="24"/>
        </w:rPr>
      </w:pPr>
      <w:r w:rsidRPr="00F52F35">
        <w:rPr>
          <w:b/>
          <w:sz w:val="24"/>
          <w:szCs w:val="24"/>
        </w:rPr>
        <w:t>Los fondos declarados deberán afectarse, únicamente, al giro de divisas por el pago de importaciones para consumo, incluidos servicios, destinados a procesos productivo</w:t>
      </w:r>
      <w:r w:rsidR="001528EC" w:rsidRPr="00F52F35">
        <w:rPr>
          <w:b/>
          <w:sz w:val="24"/>
          <w:szCs w:val="24"/>
        </w:rPr>
        <w:t>s</w:t>
      </w:r>
      <w:r w:rsidR="001528EC" w:rsidRPr="00003354">
        <w:rPr>
          <w:sz w:val="24"/>
          <w:szCs w:val="24"/>
        </w:rPr>
        <w:t>.</w:t>
      </w:r>
    </w:p>
    <w:p w14:paraId="1C4E84FD" w14:textId="77777777" w:rsidR="003073B8" w:rsidRPr="00003354" w:rsidRDefault="003073B8" w:rsidP="003073B8">
      <w:pPr>
        <w:jc w:val="both"/>
        <w:rPr>
          <w:sz w:val="24"/>
          <w:szCs w:val="24"/>
        </w:rPr>
      </w:pPr>
    </w:p>
    <w:p w14:paraId="0B508D91" w14:textId="6BDABF63" w:rsidR="003073B8" w:rsidRPr="00003354" w:rsidRDefault="001528EC" w:rsidP="003073B8">
      <w:pPr>
        <w:jc w:val="both"/>
        <w:rPr>
          <w:sz w:val="24"/>
          <w:szCs w:val="24"/>
        </w:rPr>
      </w:pPr>
      <w:r w:rsidRPr="00003354">
        <w:rPr>
          <w:sz w:val="24"/>
          <w:szCs w:val="24"/>
        </w:rPr>
        <w:t>Se es</w:t>
      </w:r>
      <w:r w:rsidR="003073B8" w:rsidRPr="00003354">
        <w:rPr>
          <w:sz w:val="24"/>
          <w:szCs w:val="24"/>
        </w:rPr>
        <w:t>tabl</w:t>
      </w:r>
      <w:r w:rsidRPr="00003354">
        <w:rPr>
          <w:sz w:val="24"/>
          <w:szCs w:val="24"/>
        </w:rPr>
        <w:t>e</w:t>
      </w:r>
      <w:r w:rsidR="003073B8" w:rsidRPr="00003354">
        <w:rPr>
          <w:sz w:val="24"/>
          <w:szCs w:val="24"/>
        </w:rPr>
        <w:t>ce un impuesto especial que se determinará sobre el valor de la tenencia que se declare expresada en moneda nacional al momento de ingreso a la cuent</w:t>
      </w:r>
      <w:r w:rsidR="00C263FB" w:rsidRPr="00003354">
        <w:rPr>
          <w:sz w:val="24"/>
          <w:szCs w:val="24"/>
        </w:rPr>
        <w:t>a especial, conforme las siguiente alícuotas:</w:t>
      </w:r>
    </w:p>
    <w:p w14:paraId="6B1D6EB0" w14:textId="77777777" w:rsidR="00003354" w:rsidRPr="00003354" w:rsidRDefault="00003354" w:rsidP="00C263FB">
      <w:pPr>
        <w:jc w:val="both"/>
        <w:rPr>
          <w:sz w:val="24"/>
          <w:szCs w:val="24"/>
        </w:rPr>
      </w:pPr>
    </w:p>
    <w:p w14:paraId="70BA34E5" w14:textId="17D896CA" w:rsidR="00C263FB" w:rsidRPr="00003354" w:rsidRDefault="00C263FB" w:rsidP="00C263FB">
      <w:pPr>
        <w:jc w:val="both"/>
        <w:rPr>
          <w:sz w:val="24"/>
          <w:szCs w:val="24"/>
        </w:rPr>
      </w:pPr>
      <w:r w:rsidRPr="00003354">
        <w:rPr>
          <w:sz w:val="24"/>
          <w:szCs w:val="24"/>
        </w:rPr>
        <w:t xml:space="preserve">a) Ingresados desde la fecha de entrada en vigencia del presente régimen y hasta transcurrido el plazo de 90 días corridos desde dicha vigencia, ambas fechas inclusive: 5%; </w:t>
      </w:r>
    </w:p>
    <w:p w14:paraId="2F732681" w14:textId="77777777" w:rsidR="00003354" w:rsidRPr="00003354" w:rsidRDefault="00003354" w:rsidP="00C263FB">
      <w:pPr>
        <w:jc w:val="both"/>
        <w:rPr>
          <w:sz w:val="24"/>
          <w:szCs w:val="24"/>
        </w:rPr>
      </w:pPr>
    </w:p>
    <w:p w14:paraId="46DDE18A" w14:textId="5F894043" w:rsidR="00C263FB" w:rsidRPr="00003354" w:rsidRDefault="00C263FB" w:rsidP="00C263FB">
      <w:pPr>
        <w:jc w:val="both"/>
        <w:rPr>
          <w:sz w:val="24"/>
          <w:szCs w:val="24"/>
        </w:rPr>
      </w:pPr>
      <w:r w:rsidRPr="00003354">
        <w:rPr>
          <w:sz w:val="24"/>
          <w:szCs w:val="24"/>
        </w:rPr>
        <w:t>b) Ingresados desde el día siguiente de vencido el plazo del inciso a) y hasta transcurrido el plazo de 90 días corridos, ambas fechas inclusive:</w:t>
      </w:r>
      <w:r w:rsidR="006668FA" w:rsidRPr="00003354">
        <w:rPr>
          <w:sz w:val="24"/>
          <w:szCs w:val="24"/>
        </w:rPr>
        <w:t xml:space="preserve"> 10%</w:t>
      </w:r>
      <w:r w:rsidRPr="00003354">
        <w:rPr>
          <w:sz w:val="24"/>
          <w:szCs w:val="24"/>
        </w:rPr>
        <w:t xml:space="preserve">; </w:t>
      </w:r>
    </w:p>
    <w:p w14:paraId="57CABD9A" w14:textId="77777777" w:rsidR="00003354" w:rsidRPr="00003354" w:rsidRDefault="00003354" w:rsidP="00C263FB">
      <w:pPr>
        <w:jc w:val="both"/>
        <w:rPr>
          <w:sz w:val="24"/>
          <w:szCs w:val="24"/>
        </w:rPr>
      </w:pPr>
    </w:p>
    <w:p w14:paraId="41ED2649" w14:textId="6F98E65F" w:rsidR="00C263FB" w:rsidRPr="00003354" w:rsidRDefault="00C263FB" w:rsidP="00C263FB">
      <w:pPr>
        <w:jc w:val="both"/>
        <w:rPr>
          <w:sz w:val="24"/>
          <w:szCs w:val="24"/>
        </w:rPr>
      </w:pPr>
      <w:r w:rsidRPr="00003354">
        <w:rPr>
          <w:sz w:val="24"/>
          <w:szCs w:val="24"/>
        </w:rPr>
        <w:t>c) Ingresados desde el día siguiente de vencido el plazo del inciso b) y hasta transcurrido el plazo de 180 días corridos, ambas fechas inclusive: 20%.</w:t>
      </w:r>
    </w:p>
    <w:p w14:paraId="2D12D210" w14:textId="24B36F57" w:rsidR="00C263FB" w:rsidRDefault="00C263FB" w:rsidP="003073B8">
      <w:pPr>
        <w:jc w:val="both"/>
        <w:rPr>
          <w:sz w:val="24"/>
          <w:szCs w:val="24"/>
        </w:rPr>
      </w:pPr>
    </w:p>
    <w:p w14:paraId="12C32D3B" w14:textId="77777777" w:rsidR="00003354" w:rsidRPr="00003354" w:rsidRDefault="00003354" w:rsidP="003073B8">
      <w:pPr>
        <w:jc w:val="both"/>
        <w:rPr>
          <w:sz w:val="24"/>
          <w:szCs w:val="24"/>
        </w:rPr>
      </w:pPr>
    </w:p>
    <w:p w14:paraId="43BCF8F2" w14:textId="77777777" w:rsidR="00003354" w:rsidRPr="00003354" w:rsidRDefault="00003354" w:rsidP="00003354">
      <w:pPr>
        <w:jc w:val="both"/>
        <w:rPr>
          <w:sz w:val="24"/>
          <w:szCs w:val="24"/>
        </w:rPr>
      </w:pPr>
      <w:r w:rsidRPr="00003354">
        <w:rPr>
          <w:sz w:val="24"/>
          <w:szCs w:val="24"/>
        </w:rPr>
        <w:t xml:space="preserve">Al solo efecto de la determinación de la base imponible, deberá considerarse para la valuación de la moneda extranjera, el tipo de cambio comprador del Banco de la Nación Argentina que corresponda a la fecha de su ingreso a la cuenta especial allí mencionada. </w:t>
      </w:r>
    </w:p>
    <w:p w14:paraId="7FBAAACF" w14:textId="77777777" w:rsidR="00003354" w:rsidRPr="00003354" w:rsidRDefault="00003354" w:rsidP="00003354">
      <w:pPr>
        <w:jc w:val="both"/>
        <w:rPr>
          <w:sz w:val="24"/>
          <w:szCs w:val="24"/>
        </w:rPr>
      </w:pPr>
    </w:p>
    <w:p w14:paraId="3CCA3473" w14:textId="5CEC2E71" w:rsidR="003073B8" w:rsidRDefault="00003354" w:rsidP="003073B8">
      <w:pPr>
        <w:jc w:val="both"/>
        <w:rPr>
          <w:sz w:val="24"/>
          <w:szCs w:val="24"/>
        </w:rPr>
      </w:pPr>
      <w:r w:rsidRPr="00003354">
        <w:rPr>
          <w:sz w:val="24"/>
          <w:szCs w:val="24"/>
        </w:rPr>
        <w:t>El impuesto especial deberá ser determinado e ingresado en la forma, plazo y condiciones que establezca la Administración Federal de Ingresos Públicos.</w:t>
      </w:r>
    </w:p>
    <w:p w14:paraId="6BBE816F" w14:textId="06787E1B" w:rsidR="00974455" w:rsidRDefault="00974455" w:rsidP="003073B8">
      <w:pPr>
        <w:jc w:val="both"/>
        <w:rPr>
          <w:sz w:val="24"/>
          <w:szCs w:val="24"/>
        </w:rPr>
      </w:pPr>
    </w:p>
    <w:p w14:paraId="578A922C" w14:textId="3EB7B629" w:rsidR="00974455" w:rsidRDefault="00974455" w:rsidP="003073B8">
      <w:pPr>
        <w:jc w:val="both"/>
        <w:rPr>
          <w:sz w:val="24"/>
          <w:szCs w:val="24"/>
        </w:rPr>
      </w:pPr>
      <w:r>
        <w:rPr>
          <w:sz w:val="24"/>
          <w:szCs w:val="24"/>
        </w:rPr>
        <w:t xml:space="preserve">El </w:t>
      </w:r>
      <w:r w:rsidR="009716D7">
        <w:rPr>
          <w:sz w:val="24"/>
          <w:szCs w:val="24"/>
        </w:rPr>
        <w:t xml:space="preserve">citado </w:t>
      </w:r>
      <w:r>
        <w:rPr>
          <w:sz w:val="24"/>
          <w:szCs w:val="24"/>
        </w:rPr>
        <w:t>impuesto no resultará deducible ni podrá ser computado como pago a cuenta del Impuesto a las Ganancias.</w:t>
      </w:r>
    </w:p>
    <w:p w14:paraId="0DEB1070" w14:textId="77777777" w:rsidR="00974455" w:rsidRPr="00003354" w:rsidRDefault="00974455" w:rsidP="003073B8">
      <w:pPr>
        <w:jc w:val="both"/>
        <w:rPr>
          <w:sz w:val="24"/>
          <w:szCs w:val="24"/>
        </w:rPr>
      </w:pPr>
    </w:p>
    <w:p w14:paraId="5D999204" w14:textId="7F332AFE" w:rsidR="003073B8" w:rsidRPr="00003354" w:rsidRDefault="003073B8" w:rsidP="003073B8">
      <w:pPr>
        <w:jc w:val="both"/>
        <w:rPr>
          <w:sz w:val="24"/>
          <w:szCs w:val="24"/>
        </w:rPr>
      </w:pPr>
      <w:r w:rsidRPr="00003354">
        <w:rPr>
          <w:sz w:val="24"/>
          <w:szCs w:val="24"/>
        </w:rPr>
        <w:t>Quienes efectúen la declaración voluntaria de moneda extranjera</w:t>
      </w:r>
      <w:r w:rsidR="001528EC" w:rsidRPr="00003354">
        <w:rPr>
          <w:sz w:val="24"/>
          <w:szCs w:val="24"/>
        </w:rPr>
        <w:t>,</w:t>
      </w:r>
      <w:r w:rsidRPr="00003354">
        <w:rPr>
          <w:sz w:val="24"/>
          <w:szCs w:val="24"/>
        </w:rPr>
        <w:t xml:space="preserve"> no estarán obligados a informar a la </w:t>
      </w:r>
      <w:r w:rsidR="001528EC" w:rsidRPr="00003354">
        <w:rPr>
          <w:sz w:val="24"/>
          <w:szCs w:val="24"/>
        </w:rPr>
        <w:t>AFIP</w:t>
      </w:r>
      <w:r w:rsidRPr="00003354">
        <w:rPr>
          <w:sz w:val="24"/>
          <w:szCs w:val="24"/>
        </w:rPr>
        <w:t xml:space="preserve"> la fecha de compra de las tenencias ni el origen de los fondos con las que fueran adquirida</w:t>
      </w:r>
      <w:r w:rsidR="001528EC" w:rsidRPr="00003354">
        <w:rPr>
          <w:sz w:val="24"/>
          <w:szCs w:val="24"/>
        </w:rPr>
        <w:t>s.</w:t>
      </w:r>
    </w:p>
    <w:p w14:paraId="67837A4B" w14:textId="77777777" w:rsidR="003073B8" w:rsidRPr="003073B8" w:rsidRDefault="003073B8" w:rsidP="003073B8">
      <w:pPr>
        <w:jc w:val="both"/>
        <w:rPr>
          <w:sz w:val="22"/>
          <w:szCs w:val="22"/>
        </w:rPr>
      </w:pPr>
    </w:p>
    <w:p w14:paraId="3E302E64" w14:textId="77777777" w:rsidR="003073B8" w:rsidRPr="003073B8" w:rsidRDefault="003073B8" w:rsidP="003073B8">
      <w:pPr>
        <w:jc w:val="both"/>
        <w:rPr>
          <w:sz w:val="22"/>
          <w:szCs w:val="22"/>
        </w:rPr>
      </w:pPr>
    </w:p>
    <w:p w14:paraId="4F02F0AE" w14:textId="73FBB462" w:rsidR="003073B8" w:rsidRDefault="003073B8" w:rsidP="003073B8">
      <w:pPr>
        <w:jc w:val="both"/>
        <w:rPr>
          <w:sz w:val="22"/>
          <w:szCs w:val="22"/>
        </w:rPr>
      </w:pPr>
    </w:p>
    <w:p w14:paraId="1A43F802" w14:textId="77777777" w:rsidR="00011AD0" w:rsidRDefault="00011AD0" w:rsidP="003073B8">
      <w:pPr>
        <w:jc w:val="both"/>
        <w:rPr>
          <w:sz w:val="22"/>
          <w:szCs w:val="22"/>
        </w:rPr>
      </w:pPr>
    </w:p>
    <w:p w14:paraId="4B616F68" w14:textId="77EA5575" w:rsidR="00011AD0" w:rsidRDefault="009F2E86" w:rsidP="00011AD0">
      <w:pPr>
        <w:tabs>
          <w:tab w:val="left" w:pos="851"/>
          <w:tab w:val="left" w:pos="1418"/>
        </w:tabs>
        <w:ind w:right="50"/>
        <w:jc w:val="both"/>
        <w:rPr>
          <w:sz w:val="24"/>
          <w:szCs w:val="24"/>
        </w:rPr>
      </w:pPr>
      <w:r>
        <w:rPr>
          <w:sz w:val="24"/>
          <w:szCs w:val="24"/>
        </w:rPr>
        <w:t>Buenos Aires, 19</w:t>
      </w:r>
      <w:bookmarkStart w:id="0" w:name="_GoBack"/>
      <w:bookmarkEnd w:id="0"/>
      <w:r w:rsidR="009716D7">
        <w:rPr>
          <w:sz w:val="24"/>
          <w:szCs w:val="24"/>
        </w:rPr>
        <w:t xml:space="preserve"> de d</w:t>
      </w:r>
      <w:r w:rsidR="00011AD0">
        <w:rPr>
          <w:sz w:val="24"/>
          <w:szCs w:val="24"/>
        </w:rPr>
        <w:t>iciembre de 2022.</w:t>
      </w:r>
    </w:p>
    <w:p w14:paraId="1F29D928" w14:textId="77777777" w:rsidR="001528EC" w:rsidRPr="003073B8" w:rsidRDefault="001528EC" w:rsidP="003073B8">
      <w:pPr>
        <w:jc w:val="both"/>
        <w:rPr>
          <w:sz w:val="22"/>
          <w:szCs w:val="22"/>
        </w:rPr>
      </w:pPr>
    </w:p>
    <w:sectPr w:rsidR="001528EC" w:rsidRPr="003073B8">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AAB62" w14:textId="77777777" w:rsidR="003B69D7" w:rsidRDefault="003B69D7" w:rsidP="003B69D7">
      <w:r>
        <w:separator/>
      </w:r>
    </w:p>
  </w:endnote>
  <w:endnote w:type="continuationSeparator" w:id="0">
    <w:p w14:paraId="23D67EE2" w14:textId="77777777" w:rsidR="003B69D7" w:rsidRDefault="003B69D7" w:rsidP="003B6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BBA30" w14:textId="77777777" w:rsidR="003B69D7" w:rsidRDefault="003B69D7" w:rsidP="003B69D7">
      <w:r>
        <w:separator/>
      </w:r>
    </w:p>
  </w:footnote>
  <w:footnote w:type="continuationSeparator" w:id="0">
    <w:p w14:paraId="4696CD4E" w14:textId="77777777" w:rsidR="003B69D7" w:rsidRDefault="003B69D7" w:rsidP="003B69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D3C60" w14:textId="77777777" w:rsidR="003B69D7" w:rsidRDefault="003B69D7" w:rsidP="003B69D7">
    <w:pPr>
      <w:pStyle w:val="Encabezado"/>
      <w:pBdr>
        <w:bottom w:val="single" w:sz="12" w:space="1" w:color="000080"/>
      </w:pBdr>
      <w:jc w:val="right"/>
      <w:rPr>
        <w:b/>
        <w:color w:val="000080"/>
      </w:rPr>
    </w:pPr>
    <w:r>
      <w:rPr>
        <w:b/>
        <w:color w:val="000080"/>
      </w:rPr>
      <w:t>FABETTI, BERTANI &amp; ASOC.</w:t>
    </w:r>
  </w:p>
  <w:p w14:paraId="405204E5" w14:textId="77777777" w:rsidR="003B69D7" w:rsidRDefault="003B69D7" w:rsidP="003B69D7">
    <w:pPr>
      <w:pStyle w:val="Encabezado"/>
    </w:pPr>
  </w:p>
  <w:p w14:paraId="2470C3BE" w14:textId="77777777" w:rsidR="003B69D7" w:rsidRDefault="003B69D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3B8"/>
    <w:rsid w:val="00003354"/>
    <w:rsid w:val="00011AD0"/>
    <w:rsid w:val="001528EC"/>
    <w:rsid w:val="0027457E"/>
    <w:rsid w:val="003073B8"/>
    <w:rsid w:val="003B69D7"/>
    <w:rsid w:val="006668FA"/>
    <w:rsid w:val="00877E1A"/>
    <w:rsid w:val="009716D7"/>
    <w:rsid w:val="00974455"/>
    <w:rsid w:val="009F2E86"/>
    <w:rsid w:val="00C263FB"/>
    <w:rsid w:val="00CE4E52"/>
    <w:rsid w:val="00F52F3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7382E"/>
  <w15:chartTrackingRefBased/>
  <w15:docId w15:val="{4099D551-920B-433E-99DA-425E3821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3B8"/>
    <w:pPr>
      <w:widowControl w:val="0"/>
      <w:spacing w:after="0" w:line="240" w:lineRule="auto"/>
    </w:pPr>
    <w:rPr>
      <w:rFonts w:ascii="Times New Roman" w:eastAsia="Times New Roman" w:hAnsi="Times New Roman" w:cs="Times New Roman"/>
      <w:sz w:val="20"/>
      <w:szCs w:val="20"/>
      <w:lang w:eastAsia="es-AR"/>
    </w:rPr>
  </w:style>
  <w:style w:type="paragraph" w:styleId="Ttulo1">
    <w:name w:val="heading 1"/>
    <w:basedOn w:val="Normal"/>
    <w:next w:val="Normal"/>
    <w:link w:val="Ttulo1Car"/>
    <w:qFormat/>
    <w:rsid w:val="003073B8"/>
    <w:pPr>
      <w:keepNext/>
      <w:outlineLvl w:val="0"/>
    </w:pPr>
    <w:rPr>
      <w:b/>
      <w:sz w:val="24"/>
      <w:lang w:val="en-US"/>
    </w:rPr>
  </w:style>
  <w:style w:type="paragraph" w:styleId="Ttulo5">
    <w:name w:val="heading 5"/>
    <w:basedOn w:val="Normal"/>
    <w:next w:val="Normal"/>
    <w:link w:val="Ttulo5Car"/>
    <w:unhideWhenUsed/>
    <w:qFormat/>
    <w:rsid w:val="003073B8"/>
    <w:pPr>
      <w:keepNext/>
      <w:outlineLvl w:val="4"/>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073B8"/>
    <w:rPr>
      <w:rFonts w:ascii="Times New Roman" w:eastAsia="Times New Roman" w:hAnsi="Times New Roman" w:cs="Times New Roman"/>
      <w:b/>
      <w:sz w:val="24"/>
      <w:szCs w:val="20"/>
      <w:lang w:val="en-US" w:eastAsia="es-AR"/>
    </w:rPr>
  </w:style>
  <w:style w:type="character" w:customStyle="1" w:styleId="Ttulo5Car">
    <w:name w:val="Título 5 Car"/>
    <w:basedOn w:val="Fuentedeprrafopredeter"/>
    <w:link w:val="Ttulo5"/>
    <w:rsid w:val="003073B8"/>
    <w:rPr>
      <w:rFonts w:ascii="Times New Roman" w:eastAsia="Times New Roman" w:hAnsi="Times New Roman" w:cs="Times New Roman"/>
      <w:sz w:val="24"/>
      <w:szCs w:val="20"/>
      <w:lang w:eastAsia="es-AR"/>
    </w:rPr>
  </w:style>
  <w:style w:type="paragraph" w:styleId="Textoindependiente">
    <w:name w:val="Body Text"/>
    <w:basedOn w:val="Normal"/>
    <w:link w:val="TextoindependienteCar"/>
    <w:semiHidden/>
    <w:unhideWhenUsed/>
    <w:rsid w:val="003073B8"/>
    <w:pPr>
      <w:tabs>
        <w:tab w:val="left" w:pos="454"/>
      </w:tabs>
      <w:ind w:right="91"/>
      <w:jc w:val="both"/>
    </w:pPr>
    <w:rPr>
      <w:sz w:val="24"/>
    </w:rPr>
  </w:style>
  <w:style w:type="character" w:customStyle="1" w:styleId="TextoindependienteCar">
    <w:name w:val="Texto independiente Car"/>
    <w:basedOn w:val="Fuentedeprrafopredeter"/>
    <w:link w:val="Textoindependiente"/>
    <w:semiHidden/>
    <w:rsid w:val="003073B8"/>
    <w:rPr>
      <w:rFonts w:ascii="Times New Roman" w:eastAsia="Times New Roman" w:hAnsi="Times New Roman" w:cs="Times New Roman"/>
      <w:sz w:val="24"/>
      <w:szCs w:val="20"/>
      <w:lang w:eastAsia="es-AR"/>
    </w:rPr>
  </w:style>
  <w:style w:type="paragraph" w:styleId="Prrafodelista">
    <w:name w:val="List Paragraph"/>
    <w:basedOn w:val="Normal"/>
    <w:uiPriority w:val="34"/>
    <w:qFormat/>
    <w:rsid w:val="003073B8"/>
    <w:pPr>
      <w:ind w:left="708"/>
    </w:pPr>
  </w:style>
  <w:style w:type="paragraph" w:styleId="Encabezado">
    <w:name w:val="header"/>
    <w:basedOn w:val="Normal"/>
    <w:link w:val="EncabezadoCar"/>
    <w:uiPriority w:val="99"/>
    <w:unhideWhenUsed/>
    <w:rsid w:val="003B69D7"/>
    <w:pPr>
      <w:tabs>
        <w:tab w:val="center" w:pos="4252"/>
        <w:tab w:val="right" w:pos="8504"/>
      </w:tabs>
    </w:pPr>
  </w:style>
  <w:style w:type="character" w:customStyle="1" w:styleId="EncabezadoCar">
    <w:name w:val="Encabezado Car"/>
    <w:basedOn w:val="Fuentedeprrafopredeter"/>
    <w:link w:val="Encabezado"/>
    <w:uiPriority w:val="99"/>
    <w:rsid w:val="003B69D7"/>
    <w:rPr>
      <w:rFonts w:ascii="Times New Roman" w:eastAsia="Times New Roman" w:hAnsi="Times New Roman" w:cs="Times New Roman"/>
      <w:sz w:val="20"/>
      <w:szCs w:val="20"/>
      <w:lang w:eastAsia="es-AR"/>
    </w:rPr>
  </w:style>
  <w:style w:type="paragraph" w:styleId="Piedepgina">
    <w:name w:val="footer"/>
    <w:basedOn w:val="Normal"/>
    <w:link w:val="PiedepginaCar"/>
    <w:uiPriority w:val="99"/>
    <w:unhideWhenUsed/>
    <w:rsid w:val="003B69D7"/>
    <w:pPr>
      <w:tabs>
        <w:tab w:val="center" w:pos="4252"/>
        <w:tab w:val="right" w:pos="8504"/>
      </w:tabs>
    </w:pPr>
  </w:style>
  <w:style w:type="character" w:customStyle="1" w:styleId="PiedepginaCar">
    <w:name w:val="Pie de página Car"/>
    <w:basedOn w:val="Fuentedeprrafopredeter"/>
    <w:link w:val="Piedepgina"/>
    <w:uiPriority w:val="99"/>
    <w:rsid w:val="003B69D7"/>
    <w:rPr>
      <w:rFonts w:ascii="Times New Roman" w:eastAsia="Times New Roman" w:hAnsi="Times New Roman" w:cs="Times New Roman"/>
      <w:sz w:val="20"/>
      <w:szCs w:val="20"/>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12096">
      <w:bodyDiv w:val="1"/>
      <w:marLeft w:val="0"/>
      <w:marRight w:val="0"/>
      <w:marTop w:val="0"/>
      <w:marBottom w:val="0"/>
      <w:divBdr>
        <w:top w:val="none" w:sz="0" w:space="0" w:color="auto"/>
        <w:left w:val="none" w:sz="0" w:space="0" w:color="auto"/>
        <w:bottom w:val="none" w:sz="0" w:space="0" w:color="auto"/>
        <w:right w:val="none" w:sz="0" w:space="0" w:color="auto"/>
      </w:divBdr>
    </w:div>
    <w:div w:id="1037580967">
      <w:bodyDiv w:val="1"/>
      <w:marLeft w:val="0"/>
      <w:marRight w:val="0"/>
      <w:marTop w:val="0"/>
      <w:marBottom w:val="0"/>
      <w:divBdr>
        <w:top w:val="none" w:sz="0" w:space="0" w:color="auto"/>
        <w:left w:val="none" w:sz="0" w:space="0" w:color="auto"/>
        <w:bottom w:val="none" w:sz="0" w:space="0" w:color="auto"/>
        <w:right w:val="none" w:sz="0" w:space="0" w:color="auto"/>
      </w:divBdr>
    </w:div>
    <w:div w:id="210949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446</Words>
  <Characters>2454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Fabetti-Bertani</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Magliolo</dc:creator>
  <cp:keywords/>
  <dc:description/>
  <cp:lastModifiedBy>Paola Fontao</cp:lastModifiedBy>
  <cp:revision>11</cp:revision>
  <dcterms:created xsi:type="dcterms:W3CDTF">2022-12-14T14:39:00Z</dcterms:created>
  <dcterms:modified xsi:type="dcterms:W3CDTF">2022-12-19T14:03:00Z</dcterms:modified>
</cp:coreProperties>
</file>