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E6EC" w14:textId="77777777" w:rsidR="00C578AC" w:rsidRPr="00C97B30" w:rsidRDefault="00C578AC" w:rsidP="00DF7B7D">
      <w:pPr>
        <w:ind w:right="1043"/>
        <w:rPr>
          <w:b/>
          <w:sz w:val="28"/>
          <w:u w:val="single"/>
          <w:lang w:val="es-AR"/>
        </w:rPr>
      </w:pPr>
    </w:p>
    <w:p w14:paraId="49C9D3F6" w14:textId="0C8F9540"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FE1FFB">
        <w:rPr>
          <w:b/>
          <w:sz w:val="28"/>
          <w:u w:val="single"/>
        </w:rPr>
        <w:t>110</w:t>
      </w:r>
      <w:r w:rsidR="0035591D">
        <w:rPr>
          <w:b/>
          <w:sz w:val="28"/>
          <w:u w:val="single"/>
        </w:rPr>
        <w:t>2</w:t>
      </w:r>
    </w:p>
    <w:p w14:paraId="5ED55151" w14:textId="77777777" w:rsidR="00DF7B7D" w:rsidRDefault="00DF7B7D" w:rsidP="00415791">
      <w:pPr>
        <w:pStyle w:val="Ttulo5"/>
        <w:ind w:right="-2"/>
        <w:jc w:val="left"/>
        <w:rPr>
          <w:i/>
        </w:rPr>
      </w:pPr>
    </w:p>
    <w:p w14:paraId="11DEC02F" w14:textId="77777777" w:rsidR="00DF5F9D" w:rsidRDefault="00DF5F9D" w:rsidP="00FE1FFB">
      <w:pPr>
        <w:ind w:right="-2"/>
        <w:rPr>
          <w:b/>
          <w:i/>
        </w:rPr>
      </w:pPr>
    </w:p>
    <w:p w14:paraId="389D7F2C" w14:textId="57131378" w:rsidR="00DF7B7D" w:rsidRDefault="00827677" w:rsidP="00FE1FFB">
      <w:pPr>
        <w:ind w:right="-2"/>
        <w:rPr>
          <w:i/>
        </w:rPr>
      </w:pPr>
      <w:r w:rsidRPr="00FE1FFB">
        <w:rPr>
          <w:b/>
          <w:i/>
        </w:rPr>
        <w:t xml:space="preserve">Resolución General N° </w:t>
      </w:r>
      <w:r w:rsidR="00551C96" w:rsidRPr="00FE1FFB">
        <w:rPr>
          <w:b/>
          <w:i/>
        </w:rPr>
        <w:t>49</w:t>
      </w:r>
      <w:r w:rsidR="0035591D">
        <w:rPr>
          <w:b/>
          <w:i/>
        </w:rPr>
        <w:t>33</w:t>
      </w:r>
      <w:r w:rsidR="00DF7B7D" w:rsidRPr="00FE1FFB">
        <w:rPr>
          <w:b/>
          <w:i/>
        </w:rPr>
        <w:t xml:space="preserve"> AFIP</w:t>
      </w:r>
    </w:p>
    <w:p w14:paraId="0D24804C" w14:textId="49FA08BB"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7E6DE9">
        <w:rPr>
          <w:i/>
          <w:lang w:val="es-ES_tradnl"/>
        </w:rPr>
        <w:t>17/0</w:t>
      </w:r>
      <w:r w:rsidR="00FE1FFB">
        <w:rPr>
          <w:i/>
          <w:lang w:val="es-ES_tradnl"/>
        </w:rPr>
        <w:t xml:space="preserve">2/2020 </w:t>
      </w:r>
    </w:p>
    <w:p w14:paraId="4A7CD780" w14:textId="593E66C9" w:rsidR="00DF7B7D" w:rsidRDefault="00827677" w:rsidP="00780CA4">
      <w:pPr>
        <w:pStyle w:val="Ttulo5"/>
        <w:ind w:right="-2"/>
        <w:jc w:val="left"/>
      </w:pPr>
      <w:r>
        <w:rPr>
          <w:i/>
          <w:lang w:val="es-ES_tradnl"/>
        </w:rPr>
        <w:t>Boletín Oficial:</w:t>
      </w:r>
      <w:r w:rsidR="00780CA4">
        <w:rPr>
          <w:i/>
          <w:lang w:val="es-ES_tradnl"/>
        </w:rPr>
        <w:t xml:space="preserve"> </w:t>
      </w:r>
      <w:r w:rsidR="00FE1FFB">
        <w:rPr>
          <w:i/>
          <w:lang w:val="es-ES_tradnl"/>
        </w:rPr>
        <w:t>18/</w:t>
      </w:r>
      <w:r w:rsidR="007E6DE9">
        <w:rPr>
          <w:i/>
          <w:lang w:val="es-ES_tradnl"/>
        </w:rPr>
        <w:t>0</w:t>
      </w:r>
      <w:r w:rsidR="00FE1FFB">
        <w:rPr>
          <w:i/>
          <w:lang w:val="es-ES_tradnl"/>
        </w:rPr>
        <w:t xml:space="preserve">2/2020 </w:t>
      </w:r>
    </w:p>
    <w:p w14:paraId="3264242A" w14:textId="77777777" w:rsidR="00DF7B7D" w:rsidRDefault="00DF7B7D" w:rsidP="00415791">
      <w:pPr>
        <w:ind w:right="-2"/>
        <w:jc w:val="both"/>
        <w:rPr>
          <w:b/>
          <w:i/>
        </w:rPr>
      </w:pPr>
    </w:p>
    <w:p w14:paraId="297F9089" w14:textId="77777777" w:rsidR="00DF5F9D" w:rsidRDefault="00DF5F9D" w:rsidP="00415791">
      <w:pPr>
        <w:ind w:right="-2"/>
        <w:jc w:val="both"/>
        <w:rPr>
          <w:b/>
          <w:i/>
        </w:rPr>
      </w:pPr>
    </w:p>
    <w:p w14:paraId="46CC30DB" w14:textId="68E2C618" w:rsidR="00DF7B7D" w:rsidRDefault="00BC6522" w:rsidP="00415791">
      <w:pPr>
        <w:ind w:right="-2"/>
        <w:jc w:val="both"/>
        <w:rPr>
          <w:b/>
          <w:bCs/>
          <w:u w:val="single"/>
        </w:rPr>
      </w:pPr>
      <w:r w:rsidRPr="00BC6522">
        <w:rPr>
          <w:b/>
          <w:bCs/>
          <w:u w:val="single"/>
        </w:rPr>
        <w:t>Régimen de Registración de Contratos de Locación</w:t>
      </w:r>
      <w:r w:rsidR="00DF5F9D">
        <w:rPr>
          <w:b/>
          <w:bCs/>
          <w:u w:val="single"/>
        </w:rPr>
        <w:t xml:space="preserve"> de Inmuebles</w:t>
      </w:r>
      <w:r w:rsidR="00CA0E85">
        <w:rPr>
          <w:b/>
          <w:bCs/>
          <w:u w:val="single"/>
        </w:rPr>
        <w:t xml:space="preserve"> </w:t>
      </w:r>
    </w:p>
    <w:p w14:paraId="227B13FB" w14:textId="77777777" w:rsidR="00827677" w:rsidRDefault="00827677" w:rsidP="00415791">
      <w:pPr>
        <w:ind w:right="-2"/>
        <w:jc w:val="both"/>
        <w:rPr>
          <w:b/>
          <w:bCs/>
          <w:u w:val="single"/>
        </w:rPr>
      </w:pPr>
    </w:p>
    <w:p w14:paraId="66BA5687" w14:textId="77777777" w:rsidR="00827677" w:rsidRPr="00827677" w:rsidRDefault="00827677" w:rsidP="00415791">
      <w:pPr>
        <w:ind w:right="-2"/>
        <w:jc w:val="both"/>
      </w:pPr>
    </w:p>
    <w:p w14:paraId="380C4B61" w14:textId="5C044EF8" w:rsidR="00500652" w:rsidRPr="00500652" w:rsidRDefault="00DF7B7D" w:rsidP="00B42821">
      <w:pPr>
        <w:ind w:right="-2"/>
        <w:jc w:val="both"/>
        <w:rPr>
          <w:sz w:val="22"/>
          <w:szCs w:val="22"/>
        </w:rPr>
      </w:pPr>
      <w:r w:rsidRPr="001B247D">
        <w:rPr>
          <w:sz w:val="22"/>
          <w:szCs w:val="22"/>
        </w:rPr>
        <w:t>A través de la Resoluc</w:t>
      </w:r>
      <w:r w:rsidR="00827677" w:rsidRPr="001B247D">
        <w:rPr>
          <w:sz w:val="22"/>
          <w:szCs w:val="22"/>
        </w:rPr>
        <w:t xml:space="preserve">ión General </w:t>
      </w:r>
      <w:r w:rsidR="00CA0EC1" w:rsidRPr="001B247D">
        <w:rPr>
          <w:sz w:val="22"/>
          <w:szCs w:val="22"/>
        </w:rPr>
        <w:t>493</w:t>
      </w:r>
      <w:r w:rsidR="005E46BF">
        <w:rPr>
          <w:sz w:val="22"/>
          <w:szCs w:val="22"/>
        </w:rPr>
        <w:t>3</w:t>
      </w:r>
      <w:r w:rsidR="00827677" w:rsidRPr="001B247D">
        <w:rPr>
          <w:sz w:val="22"/>
          <w:szCs w:val="22"/>
        </w:rPr>
        <w:t xml:space="preserve"> </w:t>
      </w:r>
      <w:r w:rsidR="00E7680E">
        <w:rPr>
          <w:sz w:val="22"/>
          <w:szCs w:val="22"/>
        </w:rPr>
        <w:t xml:space="preserve">se </w:t>
      </w:r>
      <w:r w:rsidR="00827677" w:rsidRPr="001B247D">
        <w:rPr>
          <w:sz w:val="22"/>
          <w:szCs w:val="22"/>
        </w:rPr>
        <w:t xml:space="preserve">establece </w:t>
      </w:r>
      <w:r w:rsidR="007E45BA" w:rsidRPr="007E45BA">
        <w:rPr>
          <w:color w:val="000000"/>
          <w:sz w:val="22"/>
          <w:szCs w:val="22"/>
        </w:rPr>
        <w:t xml:space="preserve">los plazos, formas y condiciones del </w:t>
      </w:r>
      <w:r w:rsidR="007E45BA" w:rsidRPr="00500652">
        <w:rPr>
          <w:color w:val="000000"/>
          <w:sz w:val="22"/>
          <w:szCs w:val="22"/>
        </w:rPr>
        <w:t>“Régimen de Registración de Contratos de Locación</w:t>
      </w:r>
      <w:r w:rsidR="00500652">
        <w:rPr>
          <w:color w:val="000000"/>
          <w:sz w:val="22"/>
          <w:szCs w:val="22"/>
        </w:rPr>
        <w:t xml:space="preserve"> </w:t>
      </w:r>
      <w:r w:rsidR="00500652" w:rsidRPr="00500652">
        <w:rPr>
          <w:color w:val="000000"/>
          <w:sz w:val="22"/>
          <w:szCs w:val="22"/>
        </w:rPr>
        <w:t>de inmuebles”</w:t>
      </w:r>
      <w:r w:rsidR="00DF5F9D">
        <w:rPr>
          <w:color w:val="000000"/>
          <w:sz w:val="22"/>
          <w:szCs w:val="22"/>
        </w:rPr>
        <w:t xml:space="preserve">. </w:t>
      </w:r>
      <w:r w:rsidR="00500652" w:rsidRPr="00500652">
        <w:rPr>
          <w:color w:val="000000"/>
          <w:sz w:val="22"/>
          <w:szCs w:val="22"/>
        </w:rPr>
        <w:t>, en adelante “RELI”, a efectos que los contratos de locación sobre bienes inmuebles</w:t>
      </w:r>
      <w:r w:rsidR="00DF5F9D">
        <w:rPr>
          <w:color w:val="000000"/>
          <w:sz w:val="22"/>
          <w:szCs w:val="22"/>
        </w:rPr>
        <w:t xml:space="preserve"> </w:t>
      </w:r>
      <w:r w:rsidR="00500652" w:rsidRPr="00500652">
        <w:rPr>
          <w:color w:val="000000"/>
          <w:sz w:val="22"/>
          <w:szCs w:val="22"/>
        </w:rPr>
        <w:t xml:space="preserve"> situados en el país</w:t>
      </w:r>
      <w:r w:rsidR="00582902">
        <w:rPr>
          <w:color w:val="000000"/>
          <w:sz w:val="22"/>
          <w:szCs w:val="22"/>
        </w:rPr>
        <w:t>,</w:t>
      </w:r>
      <w:r w:rsidR="00500652" w:rsidRPr="00500652">
        <w:rPr>
          <w:color w:val="000000"/>
          <w:sz w:val="22"/>
          <w:szCs w:val="22"/>
        </w:rPr>
        <w:t xml:space="preserve"> puedan ser declarados ant</w:t>
      </w:r>
      <w:r w:rsidR="00582902">
        <w:rPr>
          <w:color w:val="000000"/>
          <w:sz w:val="22"/>
          <w:szCs w:val="22"/>
        </w:rPr>
        <w:t xml:space="preserve">e </w:t>
      </w:r>
      <w:r w:rsidR="00DF5F9D">
        <w:rPr>
          <w:color w:val="000000"/>
          <w:sz w:val="22"/>
          <w:szCs w:val="22"/>
        </w:rPr>
        <w:t xml:space="preserve">esta </w:t>
      </w:r>
      <w:r w:rsidR="00500652" w:rsidRPr="00500652">
        <w:rPr>
          <w:color w:val="000000"/>
          <w:sz w:val="22"/>
          <w:szCs w:val="22"/>
        </w:rPr>
        <w:t>Administración Federal</w:t>
      </w:r>
      <w:r w:rsidR="00F02321">
        <w:rPr>
          <w:color w:val="000000"/>
          <w:sz w:val="22"/>
          <w:szCs w:val="22"/>
        </w:rPr>
        <w:t>.</w:t>
      </w:r>
    </w:p>
    <w:p w14:paraId="6E686D70" w14:textId="40E05CDE" w:rsidR="001D42CB" w:rsidRDefault="001D42CB" w:rsidP="00613C94">
      <w:pPr>
        <w:ind w:right="-2"/>
        <w:rPr>
          <w:color w:val="000000"/>
          <w:sz w:val="22"/>
          <w:szCs w:val="22"/>
        </w:rPr>
      </w:pPr>
    </w:p>
    <w:p w14:paraId="7A5795E0" w14:textId="77777777" w:rsidR="00613C94" w:rsidRPr="00613C94" w:rsidRDefault="00613C94" w:rsidP="00613C94">
      <w:pPr>
        <w:ind w:right="-2"/>
        <w:rPr>
          <w:color w:val="000000"/>
          <w:sz w:val="22"/>
          <w:szCs w:val="22"/>
        </w:rPr>
      </w:pPr>
    </w:p>
    <w:p w14:paraId="7B1345FD" w14:textId="5B286F12" w:rsidR="00D148A9" w:rsidRPr="001B247D" w:rsidRDefault="00FE1FFB" w:rsidP="001B247D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Destacamos a continuación lo</w:t>
      </w:r>
      <w:r w:rsidR="00827677" w:rsidRPr="001B247D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aspectos </w:t>
      </w:r>
      <w:r w:rsidR="00827677" w:rsidRPr="001B247D">
        <w:rPr>
          <w:sz w:val="22"/>
          <w:szCs w:val="22"/>
        </w:rPr>
        <w:t>más relevantes:</w:t>
      </w:r>
    </w:p>
    <w:p w14:paraId="2D70E742" w14:textId="77777777" w:rsidR="003A6BED" w:rsidRPr="001B247D" w:rsidRDefault="003A6BED" w:rsidP="001B247D">
      <w:pPr>
        <w:ind w:right="-2"/>
        <w:jc w:val="both"/>
        <w:rPr>
          <w:iCs/>
          <w:sz w:val="22"/>
          <w:szCs w:val="22"/>
        </w:rPr>
      </w:pPr>
    </w:p>
    <w:p w14:paraId="3EFD4D4B" w14:textId="77777777" w:rsidR="00FE55C3" w:rsidRDefault="00FE55C3" w:rsidP="00FE55C3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168B0AEB" w14:textId="77777777" w:rsidR="00FE55C3" w:rsidRDefault="00FE55C3" w:rsidP="00FE55C3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Contratos Alcanzados</w:t>
      </w:r>
    </w:p>
    <w:p w14:paraId="6F2E9696" w14:textId="77777777" w:rsidR="00FE55C3" w:rsidRPr="001B247D" w:rsidRDefault="00FE55C3" w:rsidP="00FE55C3">
      <w:pPr>
        <w:pStyle w:val="Textoindependiente"/>
        <w:ind w:left="720" w:right="-2"/>
        <w:rPr>
          <w:sz w:val="22"/>
          <w:szCs w:val="22"/>
        </w:rPr>
      </w:pPr>
    </w:p>
    <w:p w14:paraId="6953E1B0" w14:textId="77777777" w:rsidR="00FE55C3" w:rsidRDefault="00FE55C3" w:rsidP="00FE55C3">
      <w:pPr>
        <w:pStyle w:val="Textoindependiente"/>
        <w:ind w:right="-2"/>
        <w:rPr>
          <w:sz w:val="22"/>
          <w:szCs w:val="22"/>
        </w:rPr>
      </w:pPr>
      <w:r w:rsidRPr="005608B7">
        <w:rPr>
          <w:sz w:val="22"/>
          <w:szCs w:val="22"/>
        </w:rPr>
        <w:t xml:space="preserve">Deberán registrarse a través del “RELI”, los contratos celebrados -por cuenta propia o por cuenta y orden de terceros-correspondientes a las operaciones económicas que se indican a continuación: </w:t>
      </w:r>
    </w:p>
    <w:p w14:paraId="52061E0A" w14:textId="77777777" w:rsidR="00FE55C3" w:rsidRPr="003D2D5F" w:rsidRDefault="00FE55C3" w:rsidP="00FE55C3">
      <w:pPr>
        <w:pStyle w:val="Textoindependiente"/>
        <w:ind w:right="-2"/>
        <w:rPr>
          <w:sz w:val="22"/>
          <w:szCs w:val="22"/>
        </w:rPr>
      </w:pPr>
    </w:p>
    <w:p w14:paraId="4FBB3E33" w14:textId="77777777" w:rsidR="00FE55C3" w:rsidRPr="003D2D5F" w:rsidRDefault="00FE55C3" w:rsidP="00FE55C3">
      <w:pPr>
        <w:pStyle w:val="Textoindependiente"/>
        <w:numPr>
          <w:ilvl w:val="0"/>
          <w:numId w:val="2"/>
        </w:numPr>
        <w:ind w:right="-2"/>
        <w:rPr>
          <w:sz w:val="22"/>
          <w:szCs w:val="22"/>
        </w:rPr>
      </w:pPr>
      <w:r w:rsidRPr="003D2D5F">
        <w:rPr>
          <w:sz w:val="22"/>
          <w:szCs w:val="22"/>
        </w:rPr>
        <w:t>Locaciones de bienes inmuebles urbanos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como las sublocaciones, cualquiera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la denominación dada a los respectivos contratos.</w:t>
      </w:r>
    </w:p>
    <w:p w14:paraId="5D4DF8D3" w14:textId="77777777" w:rsidR="00FE55C3" w:rsidRPr="003D2D5F" w:rsidRDefault="00FE55C3" w:rsidP="00FE55C3">
      <w:pPr>
        <w:pStyle w:val="Textoindependiente"/>
        <w:numPr>
          <w:ilvl w:val="0"/>
          <w:numId w:val="2"/>
        </w:numPr>
        <w:ind w:right="-2"/>
        <w:rPr>
          <w:sz w:val="22"/>
          <w:szCs w:val="22"/>
        </w:rPr>
      </w:pPr>
      <w:r w:rsidRPr="003D2D5F">
        <w:rPr>
          <w:sz w:val="22"/>
          <w:szCs w:val="22"/>
        </w:rPr>
        <w:t>Arrendamientos sobre bienes inmuebles rurales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como los subarriendos, con prescindencia de la modalidad o denominación que se le otorgue.</w:t>
      </w:r>
    </w:p>
    <w:p w14:paraId="134FAFBD" w14:textId="77777777" w:rsidR="00FE55C3" w:rsidRDefault="00FE55C3" w:rsidP="00FE55C3">
      <w:pPr>
        <w:pStyle w:val="Textoindependiente"/>
        <w:numPr>
          <w:ilvl w:val="0"/>
          <w:numId w:val="2"/>
        </w:numPr>
        <w:ind w:right="-2"/>
        <w:rPr>
          <w:sz w:val="22"/>
          <w:szCs w:val="22"/>
        </w:rPr>
      </w:pPr>
      <w:r w:rsidRPr="003D2D5F">
        <w:rPr>
          <w:sz w:val="22"/>
          <w:szCs w:val="22"/>
        </w:rPr>
        <w:t>Locaciones temporarias de inmuebles -urbanos o rurales- con fines turísticos, de descanso o similares</w:t>
      </w:r>
      <w:r>
        <w:rPr>
          <w:sz w:val="22"/>
          <w:szCs w:val="22"/>
        </w:rPr>
        <w:t>.</w:t>
      </w:r>
    </w:p>
    <w:p w14:paraId="7315AD83" w14:textId="77777777" w:rsidR="00FE55C3" w:rsidRPr="005608B7" w:rsidRDefault="00FE55C3" w:rsidP="00FE55C3">
      <w:pPr>
        <w:pStyle w:val="Textoindependiente"/>
        <w:numPr>
          <w:ilvl w:val="0"/>
          <w:numId w:val="2"/>
        </w:numPr>
        <w:ind w:right="-2"/>
        <w:rPr>
          <w:color w:val="000000"/>
          <w:sz w:val="22"/>
          <w:szCs w:val="22"/>
        </w:rPr>
      </w:pPr>
      <w:r w:rsidRPr="005608B7">
        <w:rPr>
          <w:sz w:val="22"/>
          <w:szCs w:val="22"/>
        </w:rPr>
        <w:t xml:space="preserve">Locaciones de espacios o superficies fijas o móviles -exclusivas o no- delimitadas dentro de bienes inmuebles, como locales comerciales y/o “stands” en supermercados, hipermercados, shoppings, centros, paseos o galerías de compras, complejos, centros </w:t>
      </w:r>
      <w:r w:rsidRPr="005608B7">
        <w:rPr>
          <w:color w:val="000000"/>
          <w:sz w:val="22"/>
          <w:szCs w:val="22"/>
        </w:rPr>
        <w:t>o “polos” gastronómicos, culturales, complejo</w:t>
      </w:r>
      <w:r>
        <w:rPr>
          <w:color w:val="000000"/>
          <w:sz w:val="22"/>
          <w:szCs w:val="22"/>
        </w:rPr>
        <w:t>s comerciales no convencionales</w:t>
      </w:r>
      <w:r w:rsidRPr="005608B7">
        <w:rPr>
          <w:color w:val="000000"/>
          <w:sz w:val="22"/>
          <w:szCs w:val="22"/>
        </w:rPr>
        <w:t>, ferias, mercados, centros de convenciones,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608B7">
        <w:rPr>
          <w:color w:val="000000"/>
          <w:sz w:val="22"/>
          <w:szCs w:val="22"/>
        </w:rPr>
        <w:t>multieventos</w:t>
      </w:r>
      <w:proofErr w:type="spellEnd"/>
      <w:r w:rsidRPr="005608B7">
        <w:rPr>
          <w:color w:val="000000"/>
          <w:sz w:val="22"/>
          <w:szCs w:val="22"/>
        </w:rPr>
        <w:t xml:space="preserve"> o similares, terrazas, sótanos, azoteas, etc.-, cualquiera sea la denominación dada a los respectivos contratos. No están comprendidos los alquileres de espacios de “góndolas”.</w:t>
      </w:r>
    </w:p>
    <w:p w14:paraId="21AE8236" w14:textId="77777777" w:rsidR="00FE55C3" w:rsidRDefault="00FE55C3" w:rsidP="00FE55C3">
      <w:pPr>
        <w:pStyle w:val="Textoindependiente"/>
        <w:ind w:right="-2"/>
        <w:rPr>
          <w:color w:val="000000"/>
          <w:sz w:val="22"/>
          <w:szCs w:val="22"/>
        </w:rPr>
      </w:pPr>
    </w:p>
    <w:p w14:paraId="3EC622C4" w14:textId="77777777" w:rsidR="00FE55C3" w:rsidRDefault="00FE55C3" w:rsidP="00FE55C3">
      <w:pPr>
        <w:pStyle w:val="Textoindependiente"/>
        <w:ind w:right="-2"/>
        <w:rPr>
          <w:color w:val="000000"/>
          <w:sz w:val="22"/>
          <w:szCs w:val="22"/>
        </w:rPr>
      </w:pPr>
      <w:r w:rsidRPr="00E665F3">
        <w:rPr>
          <w:color w:val="000000"/>
          <w:sz w:val="22"/>
          <w:szCs w:val="22"/>
        </w:rPr>
        <w:t>En todos los casos, se encuentran incluidos los contratos de locación celebrados electrónicamente mediante la utilización de plataformas digitales y/o aplicaciones móviles destinadas a tal fin</w:t>
      </w:r>
      <w:r>
        <w:rPr>
          <w:color w:val="000000"/>
          <w:sz w:val="22"/>
          <w:szCs w:val="22"/>
        </w:rPr>
        <w:t>.</w:t>
      </w:r>
    </w:p>
    <w:p w14:paraId="5230882D" w14:textId="77777777" w:rsidR="00FE55C3" w:rsidRDefault="00FE55C3" w:rsidP="00FE55C3">
      <w:pPr>
        <w:pStyle w:val="Textoindependiente"/>
        <w:ind w:right="-2"/>
        <w:rPr>
          <w:color w:val="000000"/>
          <w:sz w:val="22"/>
          <w:szCs w:val="22"/>
        </w:rPr>
      </w:pPr>
    </w:p>
    <w:p w14:paraId="0D7A2763" w14:textId="77777777" w:rsidR="008834BB" w:rsidRDefault="008834BB" w:rsidP="00D148A9">
      <w:pPr>
        <w:pStyle w:val="Textoindependiente"/>
        <w:ind w:right="-2"/>
        <w:rPr>
          <w:sz w:val="22"/>
          <w:szCs w:val="22"/>
        </w:rPr>
      </w:pPr>
    </w:p>
    <w:p w14:paraId="2245BAF7" w14:textId="1B165714" w:rsidR="00D148A9" w:rsidRDefault="00D148A9" w:rsidP="00E90E81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8834BB">
        <w:rPr>
          <w:b/>
          <w:sz w:val="22"/>
          <w:szCs w:val="22"/>
          <w:u w:val="single"/>
        </w:rPr>
        <w:t>Sujetos Alcanzados</w:t>
      </w:r>
    </w:p>
    <w:p w14:paraId="431769FE" w14:textId="77777777" w:rsidR="00613C94" w:rsidRDefault="00613C94" w:rsidP="00613C94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3C16945F" w14:textId="77777777" w:rsidR="004D23BD" w:rsidRDefault="00613C94" w:rsidP="00046831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613C94">
        <w:rPr>
          <w:color w:val="000000"/>
          <w:sz w:val="22"/>
          <w:szCs w:val="22"/>
        </w:rPr>
        <w:t>Q</w:t>
      </w:r>
      <w:r w:rsidR="00046831" w:rsidRPr="00613C94">
        <w:rPr>
          <w:color w:val="000000"/>
          <w:sz w:val="22"/>
          <w:szCs w:val="22"/>
        </w:rPr>
        <w:t>uedan obligados a efectuar la registración</w:t>
      </w:r>
      <w:r>
        <w:rPr>
          <w:color w:val="000000"/>
          <w:sz w:val="22"/>
          <w:szCs w:val="22"/>
        </w:rPr>
        <w:t>:</w:t>
      </w:r>
      <w:r w:rsidR="00046831" w:rsidRPr="00613C94">
        <w:rPr>
          <w:color w:val="000000"/>
          <w:sz w:val="22"/>
          <w:szCs w:val="22"/>
        </w:rPr>
        <w:t xml:space="preserve"> </w:t>
      </w:r>
    </w:p>
    <w:p w14:paraId="6E80AC40" w14:textId="5727C5B0" w:rsidR="00046831" w:rsidRPr="00613C94" w:rsidRDefault="00046831" w:rsidP="009D4111">
      <w:pPr>
        <w:pStyle w:val="sangrianovedades"/>
        <w:numPr>
          <w:ilvl w:val="0"/>
          <w:numId w:val="4"/>
        </w:numPr>
        <w:spacing w:before="80" w:beforeAutospacing="0" w:after="0" w:afterAutospacing="0"/>
        <w:ind w:right="105"/>
        <w:jc w:val="both"/>
        <w:rPr>
          <w:color w:val="000000"/>
          <w:sz w:val="22"/>
          <w:szCs w:val="22"/>
          <w:lang w:val="es-AR" w:eastAsia="es-AR"/>
        </w:rPr>
      </w:pPr>
      <w:r w:rsidRPr="00613C94">
        <w:rPr>
          <w:color w:val="000000"/>
          <w:sz w:val="22"/>
          <w:szCs w:val="22"/>
        </w:rPr>
        <w:t xml:space="preserve">las personas humanas, sucesiones indivisas y </w:t>
      </w:r>
      <w:proofErr w:type="gramStart"/>
      <w:r w:rsidRPr="00613C94">
        <w:rPr>
          <w:color w:val="000000"/>
          <w:sz w:val="22"/>
          <w:szCs w:val="22"/>
        </w:rPr>
        <w:t>personas jurídicas cualquiera</w:t>
      </w:r>
      <w:proofErr w:type="gramEnd"/>
      <w:r w:rsidRPr="00613C94">
        <w:rPr>
          <w:color w:val="000000"/>
          <w:sz w:val="22"/>
          <w:szCs w:val="22"/>
        </w:rPr>
        <w:t xml:space="preserve"> sea la forma que adopten</w:t>
      </w:r>
      <w:r w:rsidR="00613C94">
        <w:rPr>
          <w:color w:val="000000"/>
          <w:sz w:val="22"/>
          <w:szCs w:val="22"/>
        </w:rPr>
        <w:t xml:space="preserve">, </w:t>
      </w:r>
      <w:r w:rsidRPr="00613C94">
        <w:rPr>
          <w:color w:val="000000"/>
          <w:sz w:val="22"/>
          <w:szCs w:val="22"/>
        </w:rPr>
        <w:t>que asuman el carácter de locadores, arrendadores, sublocadores o subarrendadores, en los contratos celebrados.</w:t>
      </w:r>
    </w:p>
    <w:p w14:paraId="585A1EA7" w14:textId="65803948" w:rsidR="004D23BD" w:rsidRPr="00B42821" w:rsidRDefault="00046831" w:rsidP="009D4111">
      <w:pPr>
        <w:pStyle w:val="sangrianovedades"/>
        <w:numPr>
          <w:ilvl w:val="0"/>
          <w:numId w:val="4"/>
        </w:numPr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613C94">
        <w:rPr>
          <w:color w:val="000000"/>
          <w:sz w:val="22"/>
          <w:szCs w:val="22"/>
        </w:rPr>
        <w:t>Cuando los inmuebles pertenezcan a sujetos residentes en el exterior, la obligación señalada estará a cargo de sus representantes en el país, cualquiera sea la modalidad de la representación.</w:t>
      </w:r>
    </w:p>
    <w:p w14:paraId="6FD0478F" w14:textId="03225EFE" w:rsidR="00541B9E" w:rsidRDefault="00541B9E" w:rsidP="00541B9E">
      <w:pPr>
        <w:ind w:left="720" w:right="-2"/>
        <w:jc w:val="both"/>
        <w:rPr>
          <w:b/>
          <w:sz w:val="22"/>
          <w:szCs w:val="22"/>
          <w:u w:val="single"/>
        </w:rPr>
      </w:pPr>
    </w:p>
    <w:p w14:paraId="3BD8456A" w14:textId="77777777" w:rsidR="00FE55C3" w:rsidRDefault="00FE55C3" w:rsidP="00541B9E">
      <w:pPr>
        <w:ind w:left="720" w:right="-2"/>
        <w:jc w:val="both"/>
        <w:rPr>
          <w:b/>
          <w:sz w:val="22"/>
          <w:szCs w:val="22"/>
          <w:u w:val="single"/>
        </w:rPr>
      </w:pPr>
    </w:p>
    <w:p w14:paraId="54C78592" w14:textId="1CF5F07D" w:rsidR="00541B9E" w:rsidRPr="00541B9E" w:rsidRDefault="005608B7" w:rsidP="00541B9E">
      <w:pPr>
        <w:numPr>
          <w:ilvl w:val="0"/>
          <w:numId w:val="1"/>
        </w:numPr>
        <w:ind w:right="-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Sujetos E</w:t>
      </w:r>
      <w:r w:rsidR="00541B9E" w:rsidRPr="00541B9E">
        <w:rPr>
          <w:b/>
          <w:sz w:val="22"/>
          <w:szCs w:val="22"/>
          <w:u w:val="single"/>
        </w:rPr>
        <w:t>xentos</w:t>
      </w:r>
    </w:p>
    <w:p w14:paraId="5E151097" w14:textId="2A5DA43A" w:rsidR="00D9289A" w:rsidRDefault="00D9289A" w:rsidP="00D9289A">
      <w:pPr>
        <w:pStyle w:val="Textoindependiente"/>
        <w:ind w:right="-2"/>
        <w:rPr>
          <w:b/>
          <w:sz w:val="22"/>
          <w:szCs w:val="22"/>
          <w:u w:val="single"/>
          <w:lang w:val="es-ES"/>
        </w:rPr>
      </w:pPr>
    </w:p>
    <w:p w14:paraId="65721312" w14:textId="4FB1A574" w:rsidR="00046831" w:rsidRPr="004D23BD" w:rsidRDefault="00F77EFD" w:rsidP="00D9289A">
      <w:pPr>
        <w:pStyle w:val="Textoindependiente"/>
        <w:ind w:right="-2"/>
        <w:rPr>
          <w:b/>
          <w:sz w:val="22"/>
          <w:szCs w:val="22"/>
          <w:u w:val="single"/>
          <w:lang w:val="es-ES"/>
        </w:rPr>
      </w:pPr>
      <w:r w:rsidRPr="004D23BD">
        <w:rPr>
          <w:color w:val="000000"/>
          <w:sz w:val="22"/>
          <w:szCs w:val="22"/>
        </w:rPr>
        <w:t>Cuando en los contratos celebrados las partes sean exclusivamente el Estado nacional, los Estados provinciales, el Gobierno de la Ciudad Autónoma de Buenos Aires o los municipios, sus respectivas reparticiones, entes centralizados o descentralizados, excluidos las entidades y organismos comprendidos en el artículo 1° de la Ley N° 22.016 y sus modificaciones, los locadores, arrendadores, sublocadores o subarrendadores quedarán eximidos de la obligación de registración.</w:t>
      </w:r>
    </w:p>
    <w:p w14:paraId="2CD14F1A" w14:textId="77777777" w:rsidR="00FE55C3" w:rsidRDefault="00FE55C3" w:rsidP="00FE55C3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2AE5116C" w14:textId="77777777" w:rsidR="00FE55C3" w:rsidRDefault="00FE55C3" w:rsidP="00FE55C3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74D45D87" w14:textId="77777777" w:rsidR="00FE55C3" w:rsidRDefault="00FE55C3" w:rsidP="00FE55C3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Intervención de Intermediarios y Condominios</w:t>
      </w:r>
    </w:p>
    <w:p w14:paraId="1214F005" w14:textId="77777777" w:rsidR="00FE55C3" w:rsidRPr="001B247D" w:rsidRDefault="00FE55C3" w:rsidP="00FE55C3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4848998D" w14:textId="77777777" w:rsidR="00FE55C3" w:rsidRDefault="00FE55C3" w:rsidP="00FE55C3">
      <w:pPr>
        <w:pStyle w:val="sangrianovedades"/>
        <w:spacing w:before="80" w:beforeAutospacing="0" w:after="0" w:afterAutospacing="0"/>
        <w:ind w:right="105"/>
        <w:jc w:val="both"/>
        <w:rPr>
          <w:sz w:val="22"/>
          <w:szCs w:val="22"/>
          <w:shd w:val="clear" w:color="auto" w:fill="FFFFFF"/>
        </w:rPr>
      </w:pPr>
      <w:r w:rsidRPr="006E5C02">
        <w:rPr>
          <w:sz w:val="22"/>
          <w:szCs w:val="22"/>
          <w:shd w:val="clear" w:color="auto" w:fill="FFFFFF"/>
        </w:rPr>
        <w:t xml:space="preserve">Cuando en los contratos celebrados intervengan </w:t>
      </w:r>
      <w:r w:rsidRPr="005608B7">
        <w:rPr>
          <w:sz w:val="22"/>
          <w:szCs w:val="22"/>
          <w:u w:val="single"/>
          <w:shd w:val="clear" w:color="auto" w:fill="FFFFFF"/>
        </w:rPr>
        <w:t>intermediarios</w:t>
      </w:r>
      <w:r w:rsidRPr="006E5C02">
        <w:rPr>
          <w:sz w:val="22"/>
          <w:szCs w:val="22"/>
          <w:shd w:val="clear" w:color="auto" w:fill="FFFFFF"/>
        </w:rPr>
        <w:t xml:space="preserve">, éstos podrán registrarlos en representación de los locadores o arrendadores. </w:t>
      </w:r>
    </w:p>
    <w:p w14:paraId="243796BB" w14:textId="77777777" w:rsidR="00FE55C3" w:rsidRDefault="00FE55C3" w:rsidP="00FE55C3">
      <w:pPr>
        <w:pStyle w:val="sangrianovedades"/>
        <w:spacing w:before="80" w:beforeAutospacing="0" w:after="0" w:afterAutospacing="0"/>
        <w:ind w:right="105"/>
        <w:jc w:val="both"/>
        <w:rPr>
          <w:sz w:val="22"/>
          <w:szCs w:val="22"/>
          <w:shd w:val="clear" w:color="auto" w:fill="FFFFFF"/>
        </w:rPr>
      </w:pPr>
      <w:r w:rsidRPr="006E5C02">
        <w:rPr>
          <w:sz w:val="22"/>
          <w:szCs w:val="22"/>
          <w:shd w:val="clear" w:color="auto" w:fill="FFFFFF"/>
        </w:rPr>
        <w:t xml:space="preserve">En el caso de un </w:t>
      </w:r>
      <w:r w:rsidRPr="005608B7">
        <w:rPr>
          <w:sz w:val="22"/>
          <w:szCs w:val="22"/>
          <w:u w:val="single"/>
          <w:shd w:val="clear" w:color="auto" w:fill="FFFFFF"/>
        </w:rPr>
        <w:t>condominio</w:t>
      </w:r>
      <w:r w:rsidRPr="006E5C02">
        <w:rPr>
          <w:sz w:val="22"/>
          <w:szCs w:val="22"/>
          <w:shd w:val="clear" w:color="auto" w:fill="FFFFFF"/>
        </w:rPr>
        <w:t>, la registración de los contratos por parte de cualquiera de los condóminos libera de la obligación al condominio y a los restantes condóminos, siempre que se haya informado a la totalidad de sus integrantes.</w:t>
      </w:r>
    </w:p>
    <w:p w14:paraId="12734CE2" w14:textId="77777777" w:rsidR="005608B7" w:rsidRDefault="005608B7" w:rsidP="00EB15FB">
      <w:pPr>
        <w:pStyle w:val="Textoindependiente"/>
        <w:ind w:right="-2"/>
        <w:rPr>
          <w:color w:val="000000"/>
          <w:sz w:val="22"/>
          <w:szCs w:val="22"/>
        </w:rPr>
      </w:pPr>
    </w:p>
    <w:p w14:paraId="30DA255E" w14:textId="77777777" w:rsidR="00FE55C3" w:rsidRDefault="00FE55C3" w:rsidP="00EB15FB">
      <w:pPr>
        <w:pStyle w:val="Textoindependiente"/>
        <w:ind w:right="-2"/>
        <w:rPr>
          <w:color w:val="000000"/>
          <w:sz w:val="22"/>
          <w:szCs w:val="22"/>
        </w:rPr>
      </w:pPr>
    </w:p>
    <w:p w14:paraId="183C8E53" w14:textId="7F8AB3B4" w:rsidR="0020126D" w:rsidRDefault="0020126D" w:rsidP="0020126D">
      <w:pPr>
        <w:pStyle w:val="Prrafodelista"/>
        <w:numPr>
          <w:ilvl w:val="0"/>
          <w:numId w:val="1"/>
        </w:numPr>
        <w:ind w:right="-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Procedimiento</w:t>
      </w:r>
      <w:r w:rsidR="005608B7">
        <w:rPr>
          <w:b/>
          <w:sz w:val="22"/>
          <w:szCs w:val="22"/>
          <w:u w:val="single"/>
        </w:rPr>
        <w:t xml:space="preserve"> para la Registración</w:t>
      </w:r>
    </w:p>
    <w:p w14:paraId="62089382" w14:textId="77777777" w:rsidR="00C710FB" w:rsidRDefault="00C710FB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</w:p>
    <w:p w14:paraId="63EAC8FE" w14:textId="71A3A737" w:rsidR="00B13AAB" w:rsidRDefault="00935EA8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935EA8">
        <w:rPr>
          <w:color w:val="000000"/>
          <w:sz w:val="22"/>
          <w:szCs w:val="22"/>
        </w:rPr>
        <w:t>L</w:t>
      </w:r>
      <w:r w:rsidR="00B13AAB" w:rsidRPr="00935EA8">
        <w:rPr>
          <w:color w:val="000000"/>
          <w:sz w:val="22"/>
          <w:szCs w:val="22"/>
        </w:rPr>
        <w:t>os</w:t>
      </w:r>
      <w:r>
        <w:rPr>
          <w:color w:val="000000"/>
          <w:sz w:val="22"/>
          <w:szCs w:val="22"/>
        </w:rPr>
        <w:t xml:space="preserve"> </w:t>
      </w:r>
      <w:r w:rsidR="00B13AAB" w:rsidRPr="00935EA8">
        <w:rPr>
          <w:color w:val="000000"/>
          <w:sz w:val="22"/>
          <w:szCs w:val="22"/>
        </w:rPr>
        <w:t>sujetos obligados deberán ingresar, a través del sitio</w:t>
      </w:r>
      <w:r w:rsidR="005608B7">
        <w:rPr>
          <w:color w:val="000000"/>
          <w:sz w:val="22"/>
          <w:szCs w:val="22"/>
        </w:rPr>
        <w:t xml:space="preserve"> web de este Organismo</w:t>
      </w:r>
      <w:r w:rsidR="009D4111">
        <w:rPr>
          <w:color w:val="000000"/>
          <w:sz w:val="22"/>
          <w:szCs w:val="22"/>
        </w:rPr>
        <w:t>, al servicio</w:t>
      </w:r>
      <w:r w:rsidR="00B13AAB" w:rsidRPr="00935EA8">
        <w:rPr>
          <w:color w:val="000000"/>
          <w:sz w:val="22"/>
          <w:szCs w:val="22"/>
        </w:rPr>
        <w:t xml:space="preserve"> “Registro de Locaciones de Inmuebles - RELI - CONTRIBUYENTE”. A tales fines, utilizarán la respectiva “Clave Fiscal” habilitada con Nivel de Seguridad 3 como mínimo</w:t>
      </w:r>
      <w:r w:rsidR="007E505D">
        <w:rPr>
          <w:color w:val="000000"/>
          <w:sz w:val="22"/>
          <w:szCs w:val="22"/>
        </w:rPr>
        <w:t>.</w:t>
      </w:r>
    </w:p>
    <w:p w14:paraId="3236C752" w14:textId="77777777" w:rsidR="009D4111" w:rsidRPr="00935EA8" w:rsidRDefault="009D4111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  <w:lang w:val="es-AR" w:eastAsia="es-AR"/>
        </w:rPr>
      </w:pPr>
    </w:p>
    <w:p w14:paraId="412DA359" w14:textId="40C4C133" w:rsidR="00B13AAB" w:rsidRDefault="00B13AAB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935EA8">
        <w:rPr>
          <w:color w:val="000000"/>
          <w:sz w:val="22"/>
          <w:szCs w:val="22"/>
        </w:rPr>
        <w:t>Dentro de dicho servicio, por cada contrato celebrado, deberán acceder a la opción “</w:t>
      </w:r>
      <w:r w:rsidRPr="007E505D">
        <w:rPr>
          <w:i/>
          <w:iCs/>
          <w:color w:val="000000"/>
          <w:sz w:val="22"/>
          <w:szCs w:val="22"/>
        </w:rPr>
        <w:t>Declaración de</w:t>
      </w:r>
      <w:r w:rsidRPr="00935EA8">
        <w:rPr>
          <w:color w:val="000000"/>
          <w:sz w:val="22"/>
          <w:szCs w:val="22"/>
        </w:rPr>
        <w:t xml:space="preserve"> </w:t>
      </w:r>
      <w:r w:rsidRPr="007E505D">
        <w:rPr>
          <w:i/>
          <w:iCs/>
          <w:color w:val="000000"/>
          <w:sz w:val="22"/>
          <w:szCs w:val="22"/>
        </w:rPr>
        <w:t>contratos”</w:t>
      </w:r>
      <w:r w:rsidRPr="00935EA8">
        <w:rPr>
          <w:color w:val="000000"/>
          <w:sz w:val="22"/>
          <w:szCs w:val="22"/>
        </w:rPr>
        <w:t>, seleccionar si se trata de bienes inmuebles urbanos o rurales y la modalidad de la operación - permanente o temporaria-, proporcionar los datos que correspondan y adjuntar en un archivo en formato “.</w:t>
      </w:r>
      <w:proofErr w:type="spellStart"/>
      <w:r w:rsidRPr="00935EA8">
        <w:rPr>
          <w:color w:val="000000"/>
          <w:sz w:val="22"/>
          <w:szCs w:val="22"/>
        </w:rPr>
        <w:t>pdf</w:t>
      </w:r>
      <w:proofErr w:type="spellEnd"/>
      <w:r w:rsidRPr="00935EA8">
        <w:rPr>
          <w:color w:val="000000"/>
          <w:sz w:val="22"/>
          <w:szCs w:val="22"/>
        </w:rPr>
        <w:t>” o “.</w:t>
      </w:r>
      <w:proofErr w:type="spellStart"/>
      <w:r w:rsidRPr="00935EA8">
        <w:rPr>
          <w:color w:val="000000"/>
          <w:sz w:val="22"/>
          <w:szCs w:val="22"/>
        </w:rPr>
        <w:t>jpg</w:t>
      </w:r>
      <w:proofErr w:type="spellEnd"/>
      <w:r w:rsidRPr="00935EA8">
        <w:rPr>
          <w:color w:val="000000"/>
          <w:sz w:val="22"/>
          <w:szCs w:val="22"/>
        </w:rPr>
        <w:t>” el contrato celebrado.</w:t>
      </w:r>
    </w:p>
    <w:p w14:paraId="7A895CCB" w14:textId="77777777" w:rsidR="009D4111" w:rsidRPr="00935EA8" w:rsidRDefault="009D4111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</w:p>
    <w:p w14:paraId="0EE05677" w14:textId="4C8ED304" w:rsidR="00B13AAB" w:rsidRDefault="00B13AAB" w:rsidP="00B13AAB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935EA8">
        <w:rPr>
          <w:color w:val="000000"/>
          <w:sz w:val="22"/>
          <w:szCs w:val="22"/>
        </w:rPr>
        <w:t>Cumplido con lo dispuesto</w:t>
      </w:r>
      <w:r w:rsidR="00801A3C">
        <w:rPr>
          <w:color w:val="000000"/>
          <w:sz w:val="22"/>
          <w:szCs w:val="22"/>
        </w:rPr>
        <w:t xml:space="preserve">, </w:t>
      </w:r>
      <w:r w:rsidRPr="00935EA8">
        <w:rPr>
          <w:color w:val="000000"/>
          <w:sz w:val="22"/>
          <w:szCs w:val="22"/>
        </w:rPr>
        <w:t>y siempre que el sujeto obligado posea Domicilio Fiscal Electrónico</w:t>
      </w:r>
      <w:r w:rsidR="00801A3C">
        <w:rPr>
          <w:color w:val="000000"/>
          <w:sz w:val="22"/>
          <w:szCs w:val="22"/>
        </w:rPr>
        <w:t xml:space="preserve">, </w:t>
      </w:r>
      <w:r w:rsidRPr="00935EA8">
        <w:rPr>
          <w:color w:val="000000"/>
          <w:sz w:val="22"/>
          <w:szCs w:val="22"/>
        </w:rPr>
        <w:t>el sistema informático registrará el contrato informado y emitirá como acuse de recibo de la transacción efectuada una constancia que contendrá un código verificador, la que se podrá descargar a través de la opción respectiva del sistema.</w:t>
      </w:r>
    </w:p>
    <w:p w14:paraId="291F83DC" w14:textId="3F1C0D4B" w:rsidR="009D4111" w:rsidRPr="009D4111" w:rsidRDefault="009D4111" w:rsidP="009D4111">
      <w:pPr>
        <w:pStyle w:val="Default"/>
      </w:pPr>
    </w:p>
    <w:p w14:paraId="2E52CA3D" w14:textId="39125654" w:rsidR="009D4111" w:rsidRPr="00935EA8" w:rsidRDefault="009D4111" w:rsidP="009D4111">
      <w:pPr>
        <w:pStyle w:val="sangrianovedades"/>
        <w:spacing w:before="80" w:beforeAutospacing="0" w:after="0" w:afterAutospacing="0"/>
        <w:ind w:right="105"/>
        <w:jc w:val="both"/>
        <w:rPr>
          <w:color w:val="000000"/>
          <w:sz w:val="22"/>
          <w:szCs w:val="22"/>
        </w:rPr>
      </w:pPr>
      <w:r w:rsidRPr="009D4111">
        <w:rPr>
          <w:color w:val="000000"/>
          <w:sz w:val="22"/>
          <w:szCs w:val="22"/>
        </w:rPr>
        <w:t>Tratándose de condominios, la citada constancia será remitida al Domicilio Fiscal Electrónico de todos los integrantes del mismo.</w:t>
      </w:r>
    </w:p>
    <w:p w14:paraId="64237D9D" w14:textId="77777777" w:rsidR="0020126D" w:rsidRPr="00B13AAB" w:rsidRDefault="0020126D" w:rsidP="00EB15FB">
      <w:pPr>
        <w:pStyle w:val="Textoindependiente"/>
        <w:ind w:right="-2"/>
        <w:rPr>
          <w:sz w:val="22"/>
          <w:szCs w:val="22"/>
          <w:lang w:val="es-ES"/>
        </w:rPr>
      </w:pPr>
    </w:p>
    <w:p w14:paraId="5C6EB725" w14:textId="77777777" w:rsidR="00366F36" w:rsidRDefault="00366F36" w:rsidP="00EB15FB">
      <w:pPr>
        <w:pStyle w:val="Textoindependiente"/>
        <w:ind w:right="-2"/>
        <w:rPr>
          <w:rFonts w:ascii="Verdana" w:hAnsi="Verdana"/>
          <w:color w:val="000000"/>
          <w:sz w:val="16"/>
          <w:szCs w:val="16"/>
        </w:rPr>
      </w:pPr>
    </w:p>
    <w:p w14:paraId="771EF9AF" w14:textId="5E6984C2" w:rsidR="00B42821" w:rsidRDefault="00366F36" w:rsidP="00366F36">
      <w:pPr>
        <w:pStyle w:val="Prrafodelista"/>
        <w:numPr>
          <w:ilvl w:val="0"/>
          <w:numId w:val="1"/>
        </w:numPr>
        <w:ind w:right="-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Plazo</w:t>
      </w:r>
      <w:r w:rsidR="00C1691D">
        <w:rPr>
          <w:b/>
          <w:sz w:val="22"/>
          <w:szCs w:val="22"/>
          <w:u w:val="single"/>
        </w:rPr>
        <w:t xml:space="preserve"> para la Registración</w:t>
      </w:r>
    </w:p>
    <w:p w14:paraId="5F4A2A18" w14:textId="77777777" w:rsidR="00B42821" w:rsidRDefault="00B42821" w:rsidP="00B42821">
      <w:pPr>
        <w:ind w:left="360" w:right="-2"/>
        <w:jc w:val="both"/>
        <w:rPr>
          <w:sz w:val="22"/>
          <w:szCs w:val="22"/>
          <w:shd w:val="clear" w:color="auto" w:fill="FFFFFF"/>
        </w:rPr>
      </w:pPr>
    </w:p>
    <w:p w14:paraId="65AF5C2B" w14:textId="057B1801" w:rsidR="00366F36" w:rsidRPr="00B42821" w:rsidRDefault="00366F36" w:rsidP="00B42821">
      <w:pPr>
        <w:ind w:right="-2"/>
        <w:jc w:val="both"/>
        <w:rPr>
          <w:b/>
          <w:sz w:val="22"/>
          <w:szCs w:val="22"/>
          <w:u w:val="single"/>
        </w:rPr>
      </w:pPr>
      <w:r w:rsidRPr="00B42821">
        <w:rPr>
          <w:sz w:val="22"/>
          <w:szCs w:val="22"/>
          <w:shd w:val="clear" w:color="auto" w:fill="FFFFFF"/>
        </w:rPr>
        <w:t>El plazo para informar estas operaciones, tanto para cuando se suscriba el contrato de locación o arrendamiento, o para cuando se modifique uno ya existente, será dentro de los 15 días corridos</w:t>
      </w:r>
      <w:r w:rsidRPr="00B42821">
        <w:rPr>
          <w:sz w:val="22"/>
          <w:szCs w:val="22"/>
        </w:rPr>
        <w:t xml:space="preserve"> posteriores </w:t>
      </w:r>
      <w:r w:rsidRPr="009D4111">
        <w:rPr>
          <w:sz w:val="22"/>
          <w:szCs w:val="22"/>
        </w:rPr>
        <w:t>al acto</w:t>
      </w:r>
      <w:r w:rsidR="00167175" w:rsidRPr="009D4111">
        <w:rPr>
          <w:sz w:val="22"/>
          <w:szCs w:val="22"/>
        </w:rPr>
        <w:t>.</w:t>
      </w:r>
    </w:p>
    <w:p w14:paraId="136FC2C7" w14:textId="77777777" w:rsidR="00366F36" w:rsidRPr="00C91680" w:rsidRDefault="00366F36" w:rsidP="00366F36">
      <w:pPr>
        <w:pStyle w:val="Textoindependiente"/>
        <w:ind w:right="-2"/>
        <w:rPr>
          <w:color w:val="000000"/>
          <w:sz w:val="22"/>
          <w:szCs w:val="22"/>
        </w:rPr>
      </w:pPr>
    </w:p>
    <w:p w14:paraId="3C1D2EE6" w14:textId="77777777" w:rsidR="00C1691D" w:rsidRDefault="00C1691D" w:rsidP="00B42821">
      <w:pPr>
        <w:pStyle w:val="sangrianovedades"/>
        <w:spacing w:before="80" w:beforeAutospacing="0" w:after="0" w:afterAutospacing="0"/>
        <w:ind w:right="105"/>
        <w:jc w:val="both"/>
        <w:rPr>
          <w:sz w:val="22"/>
          <w:szCs w:val="22"/>
          <w:shd w:val="clear" w:color="auto" w:fill="FFFFFF"/>
        </w:rPr>
      </w:pPr>
    </w:p>
    <w:p w14:paraId="295C4BD7" w14:textId="0F9951BB" w:rsidR="00C1691D" w:rsidRDefault="00C1691D" w:rsidP="00C1691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Disposiciones Generales</w:t>
      </w:r>
    </w:p>
    <w:p w14:paraId="72EBCB2C" w14:textId="77777777" w:rsidR="00FE55C3" w:rsidRDefault="00FE55C3" w:rsidP="00C1691D">
      <w:pPr>
        <w:pStyle w:val="sangrianovedades"/>
        <w:spacing w:before="80" w:beforeAutospacing="0" w:after="0" w:afterAutospacing="0"/>
        <w:ind w:right="105"/>
        <w:jc w:val="both"/>
        <w:rPr>
          <w:sz w:val="22"/>
          <w:szCs w:val="22"/>
        </w:rPr>
      </w:pPr>
    </w:p>
    <w:p w14:paraId="5C0AC7F7" w14:textId="4265B878" w:rsidR="009D0E5E" w:rsidRPr="009D0E5E" w:rsidRDefault="009D0E5E" w:rsidP="00C1691D">
      <w:pPr>
        <w:pStyle w:val="sangrianovedades"/>
        <w:spacing w:before="80" w:beforeAutospacing="0" w:after="0" w:afterAutospacing="0"/>
        <w:ind w:right="105"/>
        <w:jc w:val="both"/>
        <w:rPr>
          <w:sz w:val="22"/>
          <w:szCs w:val="22"/>
          <w:lang w:val="es-AR" w:eastAsia="es-AR"/>
        </w:rPr>
      </w:pPr>
      <w:r w:rsidRPr="009D4111">
        <w:rPr>
          <w:sz w:val="22"/>
          <w:szCs w:val="22"/>
        </w:rPr>
        <w:t xml:space="preserve">Las </w:t>
      </w:r>
      <w:r w:rsidRPr="009D4111">
        <w:rPr>
          <w:sz w:val="22"/>
          <w:szCs w:val="22"/>
          <w:u w:val="single"/>
        </w:rPr>
        <w:t>operaciones concertadas en moneda extranjera</w:t>
      </w:r>
      <w:r w:rsidRPr="009D4111">
        <w:rPr>
          <w:sz w:val="22"/>
          <w:szCs w:val="22"/>
        </w:rPr>
        <w:t xml:space="preserve"> deberán informarse en moneda de curso legal considerando el tipo de cambio vendedor del Banco de la Nación Argentina</w:t>
      </w:r>
      <w:r w:rsidR="00E95076" w:rsidRPr="009D4111">
        <w:rPr>
          <w:sz w:val="22"/>
          <w:szCs w:val="22"/>
        </w:rPr>
        <w:t xml:space="preserve">, </w:t>
      </w:r>
      <w:r w:rsidRPr="009D4111">
        <w:rPr>
          <w:sz w:val="22"/>
          <w:szCs w:val="22"/>
        </w:rPr>
        <w:t>para la moneda en cuestión, vigente al cierre del día hábil inmediato anterior al de la celebración del contrato.</w:t>
      </w:r>
    </w:p>
    <w:p w14:paraId="1774426D" w14:textId="77777777" w:rsidR="00053EC6" w:rsidRPr="006E5C02" w:rsidRDefault="00053EC6" w:rsidP="00327811">
      <w:pPr>
        <w:jc w:val="both"/>
        <w:rPr>
          <w:b/>
          <w:sz w:val="22"/>
          <w:szCs w:val="22"/>
          <w:u w:val="single"/>
          <w:lang w:val="es-AR"/>
        </w:rPr>
      </w:pPr>
    </w:p>
    <w:p w14:paraId="41D6D75C" w14:textId="0D19B96B" w:rsidR="000804C3" w:rsidRPr="001B247D" w:rsidRDefault="009D4111" w:rsidP="009D4111">
      <w:pPr>
        <w:pStyle w:val="Textoindependiente"/>
        <w:ind w:right="-2"/>
        <w:rPr>
          <w:b/>
          <w:sz w:val="22"/>
          <w:szCs w:val="22"/>
          <w:u w:val="single"/>
        </w:rPr>
      </w:pPr>
      <w:r w:rsidRPr="00FE55C3">
        <w:rPr>
          <w:sz w:val="22"/>
          <w:szCs w:val="22"/>
          <w:lang w:val="es-ES"/>
        </w:rPr>
        <w:t xml:space="preserve">El cumplimiento de este régimen de registración </w:t>
      </w:r>
      <w:r w:rsidR="00FE55C3">
        <w:rPr>
          <w:sz w:val="22"/>
          <w:szCs w:val="22"/>
          <w:lang w:val="es-ES"/>
        </w:rPr>
        <w:t xml:space="preserve"> </w:t>
      </w:r>
      <w:r w:rsidRPr="00FE55C3">
        <w:rPr>
          <w:sz w:val="22"/>
          <w:szCs w:val="22"/>
          <w:lang w:val="es-ES"/>
        </w:rPr>
        <w:t>no exime el deber de declarar los contratos pertinentes a través del</w:t>
      </w:r>
      <w:r w:rsidR="00FE55C3">
        <w:rPr>
          <w:sz w:val="22"/>
          <w:szCs w:val="22"/>
          <w:lang w:val="es-ES"/>
        </w:rPr>
        <w:t xml:space="preserve"> </w:t>
      </w:r>
      <w:r w:rsidRPr="00FE55C3">
        <w:rPr>
          <w:sz w:val="22"/>
          <w:szCs w:val="22"/>
          <w:u w:val="single"/>
          <w:lang w:val="es-ES"/>
        </w:rPr>
        <w:t>Sistema de Información Simplificado Agrícola (SISA)</w:t>
      </w:r>
      <w:r w:rsidRPr="00FE55C3">
        <w:rPr>
          <w:sz w:val="22"/>
          <w:szCs w:val="22"/>
          <w:lang w:val="es-ES"/>
        </w:rPr>
        <w:t>, implementado por la Resolución General Conjunta Nº 4.248 del Ministerio de</w:t>
      </w:r>
      <w:r w:rsidR="00FE55C3">
        <w:rPr>
          <w:sz w:val="22"/>
          <w:szCs w:val="22"/>
          <w:lang w:val="es-ES"/>
        </w:rPr>
        <w:t xml:space="preserve"> </w:t>
      </w:r>
      <w:r w:rsidRPr="00FE55C3">
        <w:rPr>
          <w:sz w:val="22"/>
          <w:szCs w:val="22"/>
          <w:lang w:val="es-ES"/>
        </w:rPr>
        <w:t>Agricultura, del Servicio Nacional de Sanidad y Calidad Agroalimentaria, del Instituto Nacional de S</w:t>
      </w:r>
      <w:bookmarkStart w:id="0" w:name="_GoBack"/>
      <w:bookmarkEnd w:id="0"/>
      <w:r w:rsidRPr="00FE55C3">
        <w:rPr>
          <w:sz w:val="22"/>
          <w:szCs w:val="22"/>
          <w:lang w:val="es-ES"/>
        </w:rPr>
        <w:t xml:space="preserve">emillas y de esta </w:t>
      </w:r>
      <w:r w:rsidR="00FE55C3" w:rsidRPr="00FE55C3">
        <w:rPr>
          <w:sz w:val="22"/>
          <w:szCs w:val="22"/>
          <w:lang w:val="es-ES"/>
        </w:rPr>
        <w:t>Administración Federal</w:t>
      </w:r>
      <w:r>
        <w:rPr>
          <w:rFonts w:cstheme="minorBidi"/>
          <w:sz w:val="16"/>
          <w:szCs w:val="16"/>
        </w:rPr>
        <w:t>.</w:t>
      </w:r>
    </w:p>
    <w:p w14:paraId="149E55EC" w14:textId="77777777" w:rsidR="009D4111" w:rsidRDefault="009D4111" w:rsidP="009D4111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1952F942" w14:textId="77777777" w:rsidR="009D4111" w:rsidRDefault="009D4111" w:rsidP="009D4111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27E7E23B" w14:textId="77777777" w:rsidR="00B42821" w:rsidRDefault="00DF7B7D" w:rsidP="008E54B1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1B247D">
        <w:rPr>
          <w:b/>
          <w:sz w:val="22"/>
          <w:szCs w:val="22"/>
          <w:u w:val="single"/>
        </w:rPr>
        <w:t>Vigencia</w:t>
      </w:r>
    </w:p>
    <w:p w14:paraId="4D9F3FD2" w14:textId="77777777" w:rsidR="00B42821" w:rsidRDefault="00B42821" w:rsidP="00B42821">
      <w:pPr>
        <w:pStyle w:val="Textoindependiente"/>
        <w:ind w:left="360" w:right="-2"/>
        <w:rPr>
          <w:b/>
          <w:sz w:val="22"/>
          <w:szCs w:val="22"/>
          <w:u w:val="single"/>
        </w:rPr>
      </w:pPr>
    </w:p>
    <w:p w14:paraId="0D4EDB79" w14:textId="77777777" w:rsidR="009D4111" w:rsidRDefault="00327811" w:rsidP="00B42821">
      <w:pPr>
        <w:pStyle w:val="Textoindependiente"/>
        <w:ind w:right="-2"/>
        <w:rPr>
          <w:sz w:val="22"/>
          <w:szCs w:val="22"/>
        </w:rPr>
      </w:pPr>
      <w:r w:rsidRPr="00B42821">
        <w:rPr>
          <w:sz w:val="22"/>
          <w:szCs w:val="22"/>
        </w:rPr>
        <w:t xml:space="preserve">Las </w:t>
      </w:r>
      <w:r w:rsidR="008E54B1" w:rsidRPr="00B42821">
        <w:rPr>
          <w:sz w:val="22"/>
          <w:szCs w:val="22"/>
        </w:rPr>
        <w:t xml:space="preserve">disposiciones </w:t>
      </w:r>
      <w:r w:rsidR="009D4111">
        <w:rPr>
          <w:sz w:val="22"/>
          <w:szCs w:val="22"/>
        </w:rPr>
        <w:t xml:space="preserve">de esta </w:t>
      </w:r>
      <w:r w:rsidR="009D4111" w:rsidRPr="00FE55C3">
        <w:rPr>
          <w:sz w:val="22"/>
          <w:szCs w:val="22"/>
          <w:u w:val="single"/>
        </w:rPr>
        <w:t xml:space="preserve">resolución </w:t>
      </w:r>
      <w:r w:rsidR="008E54B1" w:rsidRPr="00FE55C3">
        <w:rPr>
          <w:sz w:val="22"/>
          <w:szCs w:val="22"/>
          <w:u w:val="single"/>
        </w:rPr>
        <w:t>son de aplicación a partir del 1</w:t>
      </w:r>
      <w:r w:rsidR="00531A6E" w:rsidRPr="00FE55C3">
        <w:rPr>
          <w:sz w:val="22"/>
          <w:szCs w:val="22"/>
          <w:u w:val="single"/>
        </w:rPr>
        <w:t xml:space="preserve"> de Marzo de </w:t>
      </w:r>
      <w:r w:rsidR="008E54B1" w:rsidRPr="00FE55C3">
        <w:rPr>
          <w:sz w:val="22"/>
          <w:szCs w:val="22"/>
          <w:u w:val="single"/>
        </w:rPr>
        <w:t xml:space="preserve">2021, </w:t>
      </w:r>
      <w:r w:rsidR="009D4111" w:rsidRPr="00FE55C3">
        <w:rPr>
          <w:sz w:val="22"/>
          <w:szCs w:val="22"/>
          <w:u w:val="single"/>
        </w:rPr>
        <w:t>inclusive</w:t>
      </w:r>
      <w:r w:rsidR="009D4111">
        <w:rPr>
          <w:sz w:val="22"/>
          <w:szCs w:val="22"/>
        </w:rPr>
        <w:t>.</w:t>
      </w:r>
    </w:p>
    <w:p w14:paraId="19653509" w14:textId="77777777" w:rsidR="009D4111" w:rsidRDefault="009D4111" w:rsidP="00B42821">
      <w:pPr>
        <w:pStyle w:val="Textoindependiente"/>
        <w:ind w:right="-2"/>
        <w:rPr>
          <w:sz w:val="22"/>
          <w:szCs w:val="22"/>
        </w:rPr>
      </w:pPr>
    </w:p>
    <w:p w14:paraId="0C36114E" w14:textId="260E6D02" w:rsidR="00F76A76" w:rsidRPr="00B42821" w:rsidRDefault="009D4111" w:rsidP="00B42821">
      <w:pPr>
        <w:pStyle w:val="Textoindependiente"/>
        <w:ind w:right="-2"/>
        <w:rPr>
          <w:b/>
          <w:sz w:val="22"/>
          <w:szCs w:val="22"/>
          <w:u w:val="single"/>
        </w:rPr>
      </w:pPr>
      <w:r>
        <w:rPr>
          <w:sz w:val="22"/>
          <w:szCs w:val="22"/>
        </w:rPr>
        <w:t>L</w:t>
      </w:r>
      <w:r w:rsidR="008E54B1" w:rsidRPr="00B42821">
        <w:rPr>
          <w:sz w:val="22"/>
          <w:szCs w:val="22"/>
        </w:rPr>
        <w:t>os contratos</w:t>
      </w:r>
      <w:r w:rsidR="00C1691D">
        <w:rPr>
          <w:sz w:val="22"/>
          <w:szCs w:val="22"/>
        </w:rPr>
        <w:t xml:space="preserve"> que se hubieran</w:t>
      </w:r>
      <w:r w:rsidR="008E54B1" w:rsidRPr="00B42821">
        <w:rPr>
          <w:sz w:val="22"/>
          <w:szCs w:val="22"/>
        </w:rPr>
        <w:t xml:space="preserve"> celebrado a partir del 1</w:t>
      </w:r>
      <w:r w:rsidR="00C1691D">
        <w:rPr>
          <w:sz w:val="22"/>
          <w:szCs w:val="22"/>
        </w:rPr>
        <w:t xml:space="preserve"> de Julio de 2020 y</w:t>
      </w:r>
      <w:r w:rsidR="008E54B1" w:rsidRPr="00B42821">
        <w:rPr>
          <w:sz w:val="22"/>
          <w:szCs w:val="22"/>
        </w:rPr>
        <w:t xml:space="preserve"> que continúen vigentes</w:t>
      </w:r>
      <w:r w:rsidR="00C1691D">
        <w:rPr>
          <w:sz w:val="22"/>
          <w:szCs w:val="22"/>
        </w:rPr>
        <w:t xml:space="preserve"> al 01 de Marzo de 2021</w:t>
      </w:r>
      <w:r w:rsidR="008E54B1" w:rsidRPr="00B42821">
        <w:rPr>
          <w:sz w:val="22"/>
          <w:szCs w:val="22"/>
        </w:rPr>
        <w:t xml:space="preserve">, así como aquellos </w:t>
      </w:r>
      <w:r w:rsidR="00C1691D">
        <w:rPr>
          <w:sz w:val="22"/>
          <w:szCs w:val="22"/>
        </w:rPr>
        <w:t xml:space="preserve">que se celebren a partir del 01 de Marzo de 2021 hasta el día 31 de Marzo de 2021, inclusive, </w:t>
      </w:r>
      <w:r w:rsidR="008E54B1" w:rsidRPr="00B42821">
        <w:rPr>
          <w:sz w:val="22"/>
          <w:szCs w:val="22"/>
        </w:rPr>
        <w:t xml:space="preserve">gozarán de </w:t>
      </w:r>
      <w:r w:rsidR="008E54B1" w:rsidRPr="00C1691D">
        <w:rPr>
          <w:sz w:val="22"/>
          <w:szCs w:val="22"/>
          <w:u w:val="single"/>
        </w:rPr>
        <w:t>un plazo e</w:t>
      </w:r>
      <w:r w:rsidR="00C1691D" w:rsidRPr="00C1691D">
        <w:rPr>
          <w:sz w:val="22"/>
          <w:szCs w:val="22"/>
          <w:u w:val="single"/>
        </w:rPr>
        <w:t>xcepcional</w:t>
      </w:r>
      <w:r w:rsidR="008E54B1" w:rsidRPr="00C1691D">
        <w:rPr>
          <w:sz w:val="22"/>
          <w:szCs w:val="22"/>
          <w:u w:val="single"/>
        </w:rPr>
        <w:t xml:space="preserve"> para su registración hasta el 15</w:t>
      </w:r>
      <w:r w:rsidR="00C1691D" w:rsidRPr="00C1691D">
        <w:rPr>
          <w:sz w:val="22"/>
          <w:szCs w:val="22"/>
          <w:u w:val="single"/>
        </w:rPr>
        <w:t xml:space="preserve"> de Abril de 2021,</w:t>
      </w:r>
      <w:r w:rsidR="008E54B1" w:rsidRPr="00C1691D">
        <w:rPr>
          <w:sz w:val="22"/>
          <w:szCs w:val="22"/>
          <w:u w:val="single"/>
        </w:rPr>
        <w:t xml:space="preserve"> inclusive</w:t>
      </w:r>
      <w:r w:rsidR="008E54B1" w:rsidRPr="00B42821">
        <w:rPr>
          <w:sz w:val="22"/>
          <w:szCs w:val="22"/>
        </w:rPr>
        <w:t>.</w:t>
      </w:r>
    </w:p>
    <w:p w14:paraId="1142A7E5" w14:textId="77777777" w:rsidR="00C578AC" w:rsidRPr="001B247D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14:paraId="452FA567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4FE93683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40DD0E1D" w14:textId="77777777" w:rsidR="00C578AC" w:rsidRPr="001B247D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14:paraId="7B735628" w14:textId="23A9704E" w:rsidR="00104421" w:rsidRPr="001B247D" w:rsidRDefault="00113A43" w:rsidP="003161D4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Buenos Aires, </w:t>
      </w:r>
      <w:r w:rsidR="00E90E81">
        <w:rPr>
          <w:sz w:val="22"/>
          <w:szCs w:val="22"/>
        </w:rPr>
        <w:t>1</w:t>
      </w:r>
      <w:r w:rsidR="00A33B09">
        <w:rPr>
          <w:sz w:val="22"/>
          <w:szCs w:val="22"/>
        </w:rPr>
        <w:t>9</w:t>
      </w:r>
      <w:r w:rsidR="002D36BB" w:rsidRPr="001B247D">
        <w:rPr>
          <w:sz w:val="22"/>
          <w:szCs w:val="22"/>
        </w:rPr>
        <w:t xml:space="preserve"> de Febrero de 2021.</w:t>
      </w:r>
    </w:p>
    <w:p w14:paraId="12BD44C1" w14:textId="77777777"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14:paraId="02035C49" w14:textId="77777777"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14:paraId="55F80A86" w14:textId="77777777"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14:paraId="27B8A4C1" w14:textId="77777777"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</w:p>
    <w:p w14:paraId="71954412" w14:textId="77777777"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</w:p>
    <w:p w14:paraId="06615D14" w14:textId="77777777" w:rsidR="00DF7B7D" w:rsidRPr="001B247D" w:rsidRDefault="00DF7B7D" w:rsidP="001B247D">
      <w:pPr>
        <w:pStyle w:val="Textoindependiente"/>
        <w:rPr>
          <w:sz w:val="22"/>
          <w:szCs w:val="22"/>
        </w:rPr>
      </w:pPr>
    </w:p>
    <w:p w14:paraId="603C8987" w14:textId="77777777" w:rsidR="00DF7B7D" w:rsidRPr="001B247D" w:rsidRDefault="00DF7B7D" w:rsidP="001B247D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p w14:paraId="580B16EF" w14:textId="353166E9" w:rsidR="00DF7B7D" w:rsidRPr="00522F21" w:rsidRDefault="00DF7B7D" w:rsidP="00522F21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sectPr w:rsidR="00DF7B7D" w:rsidRPr="00522F21" w:rsidSect="00415791">
      <w:head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8F666" w14:textId="77777777" w:rsidR="009D4111" w:rsidRDefault="009D4111" w:rsidP="007E430E">
      <w:r>
        <w:separator/>
      </w:r>
    </w:p>
  </w:endnote>
  <w:endnote w:type="continuationSeparator" w:id="0">
    <w:p w14:paraId="4D554AB2" w14:textId="77777777" w:rsidR="009D4111" w:rsidRDefault="009D4111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0D6C" w14:textId="77777777" w:rsidR="009D4111" w:rsidRDefault="009D4111" w:rsidP="007E430E">
      <w:r>
        <w:separator/>
      </w:r>
    </w:p>
  </w:footnote>
  <w:footnote w:type="continuationSeparator" w:id="0">
    <w:p w14:paraId="5244E434" w14:textId="77777777" w:rsidR="009D4111" w:rsidRDefault="009D4111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E801" w14:textId="77777777" w:rsidR="009D4111" w:rsidRPr="006B4439" w:rsidRDefault="009D4111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14:paraId="21D53446" w14:textId="77777777" w:rsidR="009D4111" w:rsidRDefault="009D41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CA6"/>
    <w:multiLevelType w:val="hybridMultilevel"/>
    <w:tmpl w:val="1258FD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3520"/>
    <w:multiLevelType w:val="hybridMultilevel"/>
    <w:tmpl w:val="ADCE3D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710FA"/>
    <w:multiLevelType w:val="hybridMultilevel"/>
    <w:tmpl w:val="49EE9DC4"/>
    <w:lvl w:ilvl="0" w:tplc="25FED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37AA6"/>
    <w:multiLevelType w:val="hybridMultilevel"/>
    <w:tmpl w:val="1BBC52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D"/>
    <w:rsid w:val="0002603C"/>
    <w:rsid w:val="00046831"/>
    <w:rsid w:val="00053EC6"/>
    <w:rsid w:val="00063E39"/>
    <w:rsid w:val="000804C3"/>
    <w:rsid w:val="000D36D2"/>
    <w:rsid w:val="00104421"/>
    <w:rsid w:val="00113A43"/>
    <w:rsid w:val="00156B95"/>
    <w:rsid w:val="00167175"/>
    <w:rsid w:val="00171B8C"/>
    <w:rsid w:val="00184A4A"/>
    <w:rsid w:val="001B247D"/>
    <w:rsid w:val="001C2969"/>
    <w:rsid w:val="001C7173"/>
    <w:rsid w:val="001D42CB"/>
    <w:rsid w:val="0020126D"/>
    <w:rsid w:val="00267535"/>
    <w:rsid w:val="00282C89"/>
    <w:rsid w:val="002874C8"/>
    <w:rsid w:val="002D36BB"/>
    <w:rsid w:val="002F7189"/>
    <w:rsid w:val="00304EE8"/>
    <w:rsid w:val="003161D4"/>
    <w:rsid w:val="00327811"/>
    <w:rsid w:val="0035591D"/>
    <w:rsid w:val="00365504"/>
    <w:rsid w:val="00366F36"/>
    <w:rsid w:val="00384362"/>
    <w:rsid w:val="003A6BED"/>
    <w:rsid w:val="003B4456"/>
    <w:rsid w:val="003D2D5F"/>
    <w:rsid w:val="003D4E75"/>
    <w:rsid w:val="003F1AB9"/>
    <w:rsid w:val="00406D06"/>
    <w:rsid w:val="00415791"/>
    <w:rsid w:val="00471457"/>
    <w:rsid w:val="00475D6F"/>
    <w:rsid w:val="0049216F"/>
    <w:rsid w:val="004C2106"/>
    <w:rsid w:val="004C32F3"/>
    <w:rsid w:val="004D23BD"/>
    <w:rsid w:val="004D7FCB"/>
    <w:rsid w:val="00500652"/>
    <w:rsid w:val="00522F21"/>
    <w:rsid w:val="00531A6E"/>
    <w:rsid w:val="00541B9E"/>
    <w:rsid w:val="00551C96"/>
    <w:rsid w:val="00554295"/>
    <w:rsid w:val="005608B7"/>
    <w:rsid w:val="00582902"/>
    <w:rsid w:val="005E46BF"/>
    <w:rsid w:val="00603104"/>
    <w:rsid w:val="00613C94"/>
    <w:rsid w:val="00630B8A"/>
    <w:rsid w:val="00657C65"/>
    <w:rsid w:val="00663EC4"/>
    <w:rsid w:val="006E1A46"/>
    <w:rsid w:val="006E5C02"/>
    <w:rsid w:val="0071763E"/>
    <w:rsid w:val="0072044C"/>
    <w:rsid w:val="00780CA4"/>
    <w:rsid w:val="00794C6B"/>
    <w:rsid w:val="00795D54"/>
    <w:rsid w:val="007D1FB1"/>
    <w:rsid w:val="007D4235"/>
    <w:rsid w:val="007E430E"/>
    <w:rsid w:val="007E45BA"/>
    <w:rsid w:val="007E505D"/>
    <w:rsid w:val="007E6DE9"/>
    <w:rsid w:val="00801A3C"/>
    <w:rsid w:val="008270B3"/>
    <w:rsid w:val="00827677"/>
    <w:rsid w:val="00833C82"/>
    <w:rsid w:val="008425CC"/>
    <w:rsid w:val="008834BB"/>
    <w:rsid w:val="008A5FB5"/>
    <w:rsid w:val="008C439C"/>
    <w:rsid w:val="008E54B1"/>
    <w:rsid w:val="008E5D66"/>
    <w:rsid w:val="008F1E35"/>
    <w:rsid w:val="009147BA"/>
    <w:rsid w:val="00935EA8"/>
    <w:rsid w:val="00937834"/>
    <w:rsid w:val="009475C6"/>
    <w:rsid w:val="00955803"/>
    <w:rsid w:val="00983E65"/>
    <w:rsid w:val="009C6C8C"/>
    <w:rsid w:val="009D0E5E"/>
    <w:rsid w:val="009D4111"/>
    <w:rsid w:val="009E377B"/>
    <w:rsid w:val="00A33B09"/>
    <w:rsid w:val="00AC2954"/>
    <w:rsid w:val="00AC4F80"/>
    <w:rsid w:val="00AC6B33"/>
    <w:rsid w:val="00B00694"/>
    <w:rsid w:val="00B13AAB"/>
    <w:rsid w:val="00B42821"/>
    <w:rsid w:val="00B538AC"/>
    <w:rsid w:val="00B71DAF"/>
    <w:rsid w:val="00B857FE"/>
    <w:rsid w:val="00BA1A56"/>
    <w:rsid w:val="00BC6522"/>
    <w:rsid w:val="00BE560E"/>
    <w:rsid w:val="00BE7606"/>
    <w:rsid w:val="00C1691D"/>
    <w:rsid w:val="00C328FE"/>
    <w:rsid w:val="00C40D9E"/>
    <w:rsid w:val="00C415A8"/>
    <w:rsid w:val="00C55201"/>
    <w:rsid w:val="00C55B3C"/>
    <w:rsid w:val="00C578AC"/>
    <w:rsid w:val="00C63C85"/>
    <w:rsid w:val="00C710FB"/>
    <w:rsid w:val="00C77BF7"/>
    <w:rsid w:val="00C91680"/>
    <w:rsid w:val="00C97B30"/>
    <w:rsid w:val="00CA0E85"/>
    <w:rsid w:val="00CA0EC1"/>
    <w:rsid w:val="00CF18B9"/>
    <w:rsid w:val="00D148A9"/>
    <w:rsid w:val="00D375EA"/>
    <w:rsid w:val="00D505C4"/>
    <w:rsid w:val="00D5729E"/>
    <w:rsid w:val="00D7497A"/>
    <w:rsid w:val="00D75079"/>
    <w:rsid w:val="00D9289A"/>
    <w:rsid w:val="00DC66EE"/>
    <w:rsid w:val="00DF5F9D"/>
    <w:rsid w:val="00DF7B7D"/>
    <w:rsid w:val="00E009E1"/>
    <w:rsid w:val="00E54B06"/>
    <w:rsid w:val="00E665F3"/>
    <w:rsid w:val="00E7680E"/>
    <w:rsid w:val="00E844B5"/>
    <w:rsid w:val="00E90E81"/>
    <w:rsid w:val="00E95076"/>
    <w:rsid w:val="00EB15FB"/>
    <w:rsid w:val="00ED7495"/>
    <w:rsid w:val="00F02321"/>
    <w:rsid w:val="00F17DEF"/>
    <w:rsid w:val="00F23481"/>
    <w:rsid w:val="00F70E4F"/>
    <w:rsid w:val="00F76A76"/>
    <w:rsid w:val="00F77EFD"/>
    <w:rsid w:val="00F808AE"/>
    <w:rsid w:val="00F97A97"/>
    <w:rsid w:val="00FE1FFB"/>
    <w:rsid w:val="00FE55C3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6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834"/>
    <w:rPr>
      <w:color w:val="605E5C"/>
      <w:shd w:val="clear" w:color="auto" w:fill="E1DFDD"/>
    </w:rPr>
  </w:style>
  <w:style w:type="paragraph" w:customStyle="1" w:styleId="Default">
    <w:name w:val="Default"/>
    <w:rsid w:val="00560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834"/>
    <w:rPr>
      <w:color w:val="605E5C"/>
      <w:shd w:val="clear" w:color="auto" w:fill="E1DFDD"/>
    </w:rPr>
  </w:style>
  <w:style w:type="paragraph" w:customStyle="1" w:styleId="Default">
    <w:name w:val="Default"/>
    <w:rsid w:val="00560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</cp:lastModifiedBy>
  <cp:revision>67</cp:revision>
  <cp:lastPrinted>2020-02-05T21:29:00Z</cp:lastPrinted>
  <dcterms:created xsi:type="dcterms:W3CDTF">2021-02-18T21:21:00Z</dcterms:created>
  <dcterms:modified xsi:type="dcterms:W3CDTF">2021-02-19T18:38:00Z</dcterms:modified>
</cp:coreProperties>
</file>