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FB" w:rsidRDefault="005433FB" w:rsidP="005433FB">
      <w:pPr>
        <w:ind w:right="1043"/>
        <w:rPr>
          <w:b/>
          <w:sz w:val="28"/>
          <w:u w:val="single"/>
        </w:rPr>
      </w:pPr>
    </w:p>
    <w:p w:rsidR="005433FB" w:rsidRDefault="005433FB" w:rsidP="005433FB">
      <w:pPr>
        <w:ind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451525">
        <w:rPr>
          <w:b/>
          <w:sz w:val="28"/>
          <w:u w:val="single"/>
        </w:rPr>
        <w:t>1099</w:t>
      </w:r>
    </w:p>
    <w:p w:rsidR="005433FB" w:rsidRDefault="005433FB" w:rsidP="005433FB">
      <w:pPr>
        <w:pStyle w:val="Ttulo5"/>
        <w:ind w:right="-2"/>
        <w:jc w:val="left"/>
        <w:rPr>
          <w:i/>
        </w:rPr>
      </w:pPr>
    </w:p>
    <w:p w:rsidR="005433FB" w:rsidRDefault="005433FB" w:rsidP="005433FB">
      <w:pPr>
        <w:ind w:right="-2"/>
      </w:pPr>
    </w:p>
    <w:p w:rsidR="005433FB" w:rsidRDefault="005433FB" w:rsidP="005433FB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4925 AFIP</w:t>
      </w:r>
    </w:p>
    <w:p w:rsidR="005433FB" w:rsidRDefault="005433FB" w:rsidP="005433FB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Fecha de Norma: 29/01/2021</w:t>
      </w:r>
    </w:p>
    <w:p w:rsidR="005433FB" w:rsidRPr="002719AD" w:rsidRDefault="005433FB" w:rsidP="005433FB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Boletín Oficial: 01/02/2021</w:t>
      </w:r>
    </w:p>
    <w:p w:rsidR="005433FB" w:rsidRDefault="005433FB" w:rsidP="005433FB">
      <w:pPr>
        <w:ind w:right="-2"/>
      </w:pPr>
    </w:p>
    <w:p w:rsidR="005433FB" w:rsidRDefault="005433FB" w:rsidP="005433FB">
      <w:pPr>
        <w:ind w:right="-2"/>
        <w:jc w:val="both"/>
        <w:rPr>
          <w:b/>
          <w:i/>
        </w:rPr>
      </w:pPr>
    </w:p>
    <w:p w:rsidR="005433FB" w:rsidRDefault="005433FB" w:rsidP="005433FB">
      <w:pPr>
        <w:ind w:right="-2"/>
        <w:jc w:val="both"/>
        <w:rPr>
          <w:b/>
          <w:bCs/>
          <w:u w:val="single"/>
        </w:rPr>
      </w:pPr>
      <w:r w:rsidRPr="00827677">
        <w:rPr>
          <w:b/>
          <w:bCs/>
          <w:u w:val="single"/>
        </w:rPr>
        <w:t xml:space="preserve">Libro de IVA Digital. </w:t>
      </w:r>
      <w:r>
        <w:rPr>
          <w:b/>
          <w:bCs/>
          <w:u w:val="single"/>
        </w:rPr>
        <w:t>Se reprograma el cronograma de implementación para sujetos exentos de IVA y se establecen precisiones.</w:t>
      </w:r>
    </w:p>
    <w:p w:rsidR="005433FB" w:rsidRDefault="005433FB" w:rsidP="005433FB">
      <w:pPr>
        <w:ind w:right="-2"/>
        <w:jc w:val="both"/>
        <w:rPr>
          <w:b/>
          <w:bCs/>
          <w:u w:val="single"/>
        </w:rPr>
      </w:pPr>
    </w:p>
    <w:p w:rsidR="005433FB" w:rsidRPr="00827677" w:rsidRDefault="005433FB" w:rsidP="005433FB">
      <w:pPr>
        <w:ind w:right="-2"/>
        <w:jc w:val="both"/>
      </w:pPr>
    </w:p>
    <w:p w:rsidR="005433FB" w:rsidRDefault="005433FB" w:rsidP="005433FB">
      <w:pPr>
        <w:ind w:right="-2"/>
        <w:jc w:val="both"/>
        <w:rPr>
          <w:szCs w:val="24"/>
        </w:rPr>
      </w:pPr>
      <w:r w:rsidRPr="003A6BED">
        <w:rPr>
          <w:szCs w:val="24"/>
        </w:rPr>
        <w:t xml:space="preserve">A través de la Resolución General </w:t>
      </w:r>
      <w:r>
        <w:rPr>
          <w:szCs w:val="24"/>
        </w:rPr>
        <w:t>4925</w:t>
      </w:r>
      <w:r w:rsidRPr="003A6BED">
        <w:rPr>
          <w:szCs w:val="24"/>
        </w:rPr>
        <w:t xml:space="preserve"> la Administración Federal de Ingresos Públicos establece modificaciones relacionadas con el Libro de IVA digital (ver Circular Impositiva </w:t>
      </w:r>
      <w:r>
        <w:rPr>
          <w:szCs w:val="24"/>
        </w:rPr>
        <w:t>N</w:t>
      </w:r>
      <w:r w:rsidRPr="003A6BED">
        <w:rPr>
          <w:szCs w:val="24"/>
        </w:rPr>
        <w:t>ro. 1.003</w:t>
      </w:r>
      <w:r w:rsidR="00133FBD">
        <w:rPr>
          <w:szCs w:val="24"/>
        </w:rPr>
        <w:t xml:space="preserve"> y 1074</w:t>
      </w:r>
      <w:r w:rsidRPr="003A6BED">
        <w:rPr>
          <w:szCs w:val="24"/>
        </w:rPr>
        <w:t xml:space="preserve">). </w:t>
      </w:r>
    </w:p>
    <w:p w:rsidR="005433FB" w:rsidRDefault="005433FB" w:rsidP="005433FB">
      <w:pPr>
        <w:ind w:right="-2"/>
        <w:jc w:val="both"/>
        <w:rPr>
          <w:szCs w:val="24"/>
        </w:rPr>
      </w:pPr>
    </w:p>
    <w:p w:rsidR="00133FBD" w:rsidRDefault="00133FBD" w:rsidP="005433FB">
      <w:pPr>
        <w:ind w:right="-2"/>
        <w:jc w:val="both"/>
        <w:rPr>
          <w:szCs w:val="24"/>
        </w:rPr>
      </w:pPr>
    </w:p>
    <w:p w:rsidR="005433FB" w:rsidRPr="003A6BED" w:rsidRDefault="005433FB" w:rsidP="005433FB">
      <w:pPr>
        <w:ind w:right="-2"/>
        <w:jc w:val="both"/>
        <w:rPr>
          <w:szCs w:val="24"/>
        </w:rPr>
      </w:pPr>
      <w:r w:rsidRPr="003A6BED">
        <w:rPr>
          <w:szCs w:val="24"/>
        </w:rPr>
        <w:t xml:space="preserve">Destacamos a continuación las </w:t>
      </w:r>
      <w:r>
        <w:rPr>
          <w:szCs w:val="24"/>
        </w:rPr>
        <w:t xml:space="preserve">modificaciones </w:t>
      </w:r>
      <w:r w:rsidRPr="003A6BED">
        <w:rPr>
          <w:szCs w:val="24"/>
        </w:rPr>
        <w:t>más relevantes:</w:t>
      </w:r>
    </w:p>
    <w:p w:rsidR="005B14A8" w:rsidRPr="00740D2D" w:rsidRDefault="005B14A8" w:rsidP="00740D2D">
      <w:pPr>
        <w:ind w:right="-2"/>
        <w:jc w:val="both"/>
        <w:rPr>
          <w:szCs w:val="24"/>
        </w:rPr>
      </w:pPr>
    </w:p>
    <w:p w:rsidR="005B14A8" w:rsidRPr="005B14A8" w:rsidRDefault="005B14A8" w:rsidP="005B14A8">
      <w:pPr>
        <w:pStyle w:val="Prrafodelista"/>
        <w:ind w:right="-2"/>
        <w:jc w:val="both"/>
        <w:rPr>
          <w:szCs w:val="24"/>
          <w:u w:val="single"/>
        </w:rPr>
      </w:pPr>
    </w:p>
    <w:p w:rsidR="005B14A8" w:rsidRPr="00133FBD" w:rsidRDefault="00133FBD" w:rsidP="000F63FB">
      <w:pPr>
        <w:pStyle w:val="Prrafodelista"/>
        <w:numPr>
          <w:ilvl w:val="0"/>
          <w:numId w:val="1"/>
        </w:numPr>
        <w:ind w:right="-2"/>
        <w:jc w:val="both"/>
        <w:rPr>
          <w:b/>
          <w:sz w:val="28"/>
          <w:szCs w:val="28"/>
          <w:u w:val="single"/>
        </w:rPr>
      </w:pPr>
      <w:r w:rsidRPr="00133FBD">
        <w:rPr>
          <w:szCs w:val="24"/>
        </w:rPr>
        <w:t xml:space="preserve">Para los </w:t>
      </w:r>
      <w:r w:rsidRPr="00133FBD">
        <w:rPr>
          <w:szCs w:val="24"/>
          <w:u w:val="single"/>
        </w:rPr>
        <w:t>responsables exentos</w:t>
      </w:r>
      <w:r w:rsidRPr="00133FBD">
        <w:rPr>
          <w:szCs w:val="24"/>
        </w:rPr>
        <w:t xml:space="preserve"> ante el Impuesto al Valor Agregado s</w:t>
      </w:r>
      <w:r w:rsidR="005B14A8" w:rsidRPr="00133FBD">
        <w:rPr>
          <w:szCs w:val="24"/>
        </w:rPr>
        <w:t xml:space="preserve">e </w:t>
      </w:r>
      <w:r w:rsidR="005B14A8" w:rsidRPr="00740D2D">
        <w:rPr>
          <w:szCs w:val="24"/>
          <w:u w:val="single"/>
        </w:rPr>
        <w:t xml:space="preserve">prorroga </w:t>
      </w:r>
      <w:r w:rsidRPr="00740D2D">
        <w:rPr>
          <w:szCs w:val="24"/>
          <w:u w:val="single"/>
        </w:rPr>
        <w:t>a Mayo 2021</w:t>
      </w:r>
      <w:r w:rsidRPr="00133FBD">
        <w:rPr>
          <w:szCs w:val="24"/>
        </w:rPr>
        <w:t xml:space="preserve"> </w:t>
      </w:r>
      <w:r w:rsidR="005B14A8" w:rsidRPr="00133FBD">
        <w:rPr>
          <w:szCs w:val="24"/>
        </w:rPr>
        <w:t xml:space="preserve"> </w:t>
      </w:r>
      <w:r w:rsidRPr="00133FBD">
        <w:rPr>
          <w:szCs w:val="24"/>
        </w:rPr>
        <w:t xml:space="preserve">la obligación de </w:t>
      </w:r>
      <w:r w:rsidR="005B14A8" w:rsidRPr="00133FBD">
        <w:rPr>
          <w:szCs w:val="24"/>
        </w:rPr>
        <w:t xml:space="preserve">la registración electrónica de operaciones mediante la generación y presentación del “Libro de IVA digital” </w:t>
      </w:r>
    </w:p>
    <w:p w:rsidR="00133FBD" w:rsidRPr="00133FBD" w:rsidRDefault="00133FBD" w:rsidP="00133FBD">
      <w:pPr>
        <w:pStyle w:val="Prrafodelista"/>
        <w:rPr>
          <w:b/>
          <w:sz w:val="28"/>
          <w:szCs w:val="28"/>
          <w:u w:val="single"/>
        </w:rPr>
      </w:pPr>
    </w:p>
    <w:p w:rsidR="00740D2D" w:rsidRDefault="00740D2D" w:rsidP="00740D2D">
      <w:pPr>
        <w:pStyle w:val="Prrafodelista"/>
        <w:numPr>
          <w:ilvl w:val="0"/>
          <w:numId w:val="1"/>
        </w:numPr>
        <w:ind w:right="-2"/>
        <w:jc w:val="both"/>
        <w:rPr>
          <w:szCs w:val="24"/>
        </w:rPr>
      </w:pPr>
      <w:r w:rsidRPr="00794C6B">
        <w:rPr>
          <w:szCs w:val="24"/>
        </w:rPr>
        <w:t xml:space="preserve">Se prorroga a </w:t>
      </w:r>
      <w:r>
        <w:rPr>
          <w:szCs w:val="24"/>
          <w:u w:val="single"/>
        </w:rPr>
        <w:t>Mayo 2021</w:t>
      </w:r>
      <w:r w:rsidRPr="00794C6B">
        <w:rPr>
          <w:szCs w:val="24"/>
        </w:rPr>
        <w:t xml:space="preserve"> el período a partir del cual se deja sin efecto el Régimen especial de Almacenamiento electrónico de Registración de comprobantes emitidos y recibidos establecido en el Capítulo I del Título II de la RG AFIP 3685/2014 (</w:t>
      </w:r>
      <w:r>
        <w:rPr>
          <w:szCs w:val="24"/>
        </w:rPr>
        <w:t>Ver c</w:t>
      </w:r>
      <w:r w:rsidRPr="00794C6B">
        <w:rPr>
          <w:szCs w:val="24"/>
        </w:rPr>
        <w:t>ircular 737)</w:t>
      </w:r>
      <w:r>
        <w:rPr>
          <w:szCs w:val="24"/>
        </w:rPr>
        <w:t>.</w:t>
      </w:r>
    </w:p>
    <w:p w:rsidR="00133FBD" w:rsidRDefault="00133FBD" w:rsidP="00133FBD">
      <w:pPr>
        <w:ind w:right="-2"/>
        <w:jc w:val="both"/>
        <w:rPr>
          <w:b/>
          <w:sz w:val="28"/>
          <w:szCs w:val="28"/>
          <w:u w:val="single"/>
        </w:rPr>
      </w:pPr>
    </w:p>
    <w:p w:rsidR="00133FBD" w:rsidRPr="00133FBD" w:rsidRDefault="00133FBD" w:rsidP="00133FBD">
      <w:pPr>
        <w:ind w:right="-2"/>
        <w:jc w:val="both"/>
        <w:rPr>
          <w:b/>
          <w:sz w:val="28"/>
          <w:szCs w:val="28"/>
          <w:u w:val="single"/>
        </w:rPr>
      </w:pPr>
    </w:p>
    <w:p w:rsidR="005433FB" w:rsidRPr="003A6BED" w:rsidRDefault="005433FB" w:rsidP="005433FB">
      <w:pPr>
        <w:pStyle w:val="Textoindependiente"/>
        <w:ind w:left="567" w:right="-2"/>
        <w:rPr>
          <w:b/>
          <w:sz w:val="28"/>
          <w:szCs w:val="28"/>
          <w:u w:val="single"/>
        </w:rPr>
      </w:pPr>
      <w:r w:rsidRPr="003A6BED">
        <w:rPr>
          <w:b/>
          <w:sz w:val="28"/>
          <w:szCs w:val="28"/>
          <w:u w:val="single"/>
        </w:rPr>
        <w:t>Vigencia</w:t>
      </w:r>
    </w:p>
    <w:p w:rsidR="005433FB" w:rsidRPr="008C34CF" w:rsidRDefault="005433FB" w:rsidP="000F63FB">
      <w:pPr>
        <w:pStyle w:val="Textoindependiente"/>
        <w:ind w:right="-2"/>
      </w:pPr>
    </w:p>
    <w:p w:rsidR="005433FB" w:rsidRPr="00F76A76" w:rsidRDefault="005433FB" w:rsidP="005433FB">
      <w:pPr>
        <w:pStyle w:val="Textoindependiente"/>
        <w:ind w:left="567" w:right="-2"/>
      </w:pPr>
      <w:r w:rsidRPr="00F76A76">
        <w:t>Las disposiciones de la presente s</w:t>
      </w:r>
      <w:r>
        <w:t xml:space="preserve">erán de aplicación a </w:t>
      </w:r>
      <w:r w:rsidR="000F63FB">
        <w:t>partir del 1 de Febrero de 2021</w:t>
      </w:r>
      <w:r>
        <w:t>.</w:t>
      </w:r>
    </w:p>
    <w:p w:rsidR="005433FB" w:rsidRDefault="005433FB" w:rsidP="005433FB">
      <w:pPr>
        <w:pStyle w:val="Textoindependiente"/>
        <w:ind w:left="567" w:right="-2"/>
      </w:pPr>
    </w:p>
    <w:p w:rsidR="005433FB" w:rsidRDefault="005433FB" w:rsidP="005433FB">
      <w:pPr>
        <w:pStyle w:val="Textoindependiente"/>
        <w:ind w:left="567" w:right="-2"/>
      </w:pPr>
    </w:p>
    <w:p w:rsidR="005433FB" w:rsidRDefault="005433FB" w:rsidP="000F63FB">
      <w:pPr>
        <w:pStyle w:val="Textoindependiente"/>
        <w:ind w:right="-2"/>
      </w:pPr>
    </w:p>
    <w:p w:rsidR="005433FB" w:rsidRDefault="005433FB" w:rsidP="005433FB">
      <w:pPr>
        <w:pStyle w:val="Textoindependiente"/>
        <w:ind w:left="567" w:right="-2"/>
      </w:pPr>
    </w:p>
    <w:p w:rsidR="001C441B" w:rsidRPr="00202447" w:rsidRDefault="005433FB" w:rsidP="00202447">
      <w:pPr>
        <w:pStyle w:val="Textoindependiente"/>
        <w:ind w:left="567" w:right="-2"/>
        <w:jc w:val="left"/>
      </w:pPr>
      <w:r>
        <w:t xml:space="preserve">Buenos Aires, </w:t>
      </w:r>
      <w:r w:rsidR="00451525">
        <w:t>3</w:t>
      </w:r>
      <w:r w:rsidR="000F63FB">
        <w:t xml:space="preserve"> de Febrero</w:t>
      </w:r>
      <w:r w:rsidR="00133FBD">
        <w:t xml:space="preserve"> </w:t>
      </w:r>
      <w:r w:rsidR="000F63FB">
        <w:t>de 2021</w:t>
      </w:r>
      <w:r w:rsidR="00430F38">
        <w:t>.</w:t>
      </w:r>
      <w:bookmarkStart w:id="0" w:name="_GoBack"/>
      <w:bookmarkEnd w:id="0"/>
    </w:p>
    <w:sectPr w:rsidR="001C441B" w:rsidRPr="00202447" w:rsidSect="002E67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3F" w:rsidRDefault="00AE423F" w:rsidP="005433FB">
      <w:r>
        <w:separator/>
      </w:r>
    </w:p>
  </w:endnote>
  <w:endnote w:type="continuationSeparator" w:id="1">
    <w:p w:rsidR="00AE423F" w:rsidRDefault="00AE423F" w:rsidP="0054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3F" w:rsidRDefault="00AE423F" w:rsidP="005433FB">
      <w:r>
        <w:separator/>
      </w:r>
    </w:p>
  </w:footnote>
  <w:footnote w:type="continuationSeparator" w:id="1">
    <w:p w:rsidR="00AE423F" w:rsidRDefault="00AE423F" w:rsidP="0054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FB" w:rsidRPr="006B4439" w:rsidRDefault="005433FB" w:rsidP="005433FB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:rsidR="005433FB" w:rsidRDefault="005433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FC4"/>
    <w:multiLevelType w:val="hybridMultilevel"/>
    <w:tmpl w:val="0DB41462"/>
    <w:lvl w:ilvl="0" w:tplc="0C0A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72956CD"/>
    <w:multiLevelType w:val="hybridMultilevel"/>
    <w:tmpl w:val="50A679DC"/>
    <w:lvl w:ilvl="0" w:tplc="473E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4257DF"/>
    <w:multiLevelType w:val="hybridMultilevel"/>
    <w:tmpl w:val="8C0AFE4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155EF5"/>
    <w:multiLevelType w:val="hybridMultilevel"/>
    <w:tmpl w:val="C5F0FF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433FB"/>
    <w:rsid w:val="000F63FB"/>
    <w:rsid w:val="00133FBD"/>
    <w:rsid w:val="001E7CA5"/>
    <w:rsid w:val="00202447"/>
    <w:rsid w:val="002D6A12"/>
    <w:rsid w:val="002E6792"/>
    <w:rsid w:val="003C3076"/>
    <w:rsid w:val="00430F38"/>
    <w:rsid w:val="00445E04"/>
    <w:rsid w:val="00451525"/>
    <w:rsid w:val="005433FB"/>
    <w:rsid w:val="005B14A8"/>
    <w:rsid w:val="00740D2D"/>
    <w:rsid w:val="008D2FB5"/>
    <w:rsid w:val="009C2DBB"/>
    <w:rsid w:val="00AE423F"/>
    <w:rsid w:val="00D9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5433F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433F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433F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F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33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33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5433F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433F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433F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F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33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33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F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Paola Fontao</cp:lastModifiedBy>
  <cp:revision>9</cp:revision>
  <dcterms:created xsi:type="dcterms:W3CDTF">2021-02-01T16:25:00Z</dcterms:created>
  <dcterms:modified xsi:type="dcterms:W3CDTF">2021-02-02T20:33:00Z</dcterms:modified>
</cp:coreProperties>
</file>