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C" w:rsidRDefault="00C578AC" w:rsidP="00DF7B7D">
      <w:pPr>
        <w:ind w:right="1043"/>
        <w:rPr>
          <w:b/>
          <w:sz w:val="28"/>
          <w:u w:val="single"/>
        </w:rPr>
      </w:pPr>
    </w:p>
    <w:p w:rsidR="00DF7B7D" w:rsidRDefault="00DF7B7D" w:rsidP="00DF7B7D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E9181F">
        <w:rPr>
          <w:b/>
          <w:sz w:val="28"/>
          <w:u w:val="single"/>
        </w:rPr>
        <w:t>1067</w:t>
      </w:r>
    </w:p>
    <w:p w:rsidR="00DF7B7D" w:rsidRDefault="00DF7B7D" w:rsidP="00DF7B7D">
      <w:pPr>
        <w:pStyle w:val="Ttulo5"/>
        <w:jc w:val="left"/>
        <w:rPr>
          <w:i/>
        </w:rPr>
      </w:pPr>
    </w:p>
    <w:p w:rsidR="00DF7B7D" w:rsidRDefault="00DF7B7D" w:rsidP="00DF7B7D"/>
    <w:p w:rsidR="00DF7B7D" w:rsidRDefault="00DF7B7D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N° 4</w:t>
      </w:r>
      <w:r w:rsidR="00AF7A16">
        <w:rPr>
          <w:i/>
          <w:lang w:val="es-ES_tradnl"/>
        </w:rPr>
        <w:t>718</w:t>
      </w:r>
      <w:r>
        <w:rPr>
          <w:i/>
          <w:lang w:val="es-ES_tradnl"/>
        </w:rPr>
        <w:t xml:space="preserve"> AFIP</w:t>
      </w:r>
    </w:p>
    <w:p w:rsidR="00DF7B7D" w:rsidRDefault="00E9181F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 14/05/2020</w:t>
      </w:r>
    </w:p>
    <w:p w:rsidR="00DF7B7D" w:rsidRDefault="00E9181F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Oficial: 15/05/2020</w:t>
      </w:r>
    </w:p>
    <w:p w:rsidR="00DF7B7D" w:rsidRDefault="00DF7B7D" w:rsidP="00DF7B7D"/>
    <w:p w:rsidR="009745AB" w:rsidRDefault="009745AB" w:rsidP="00DF7B7D"/>
    <w:p w:rsidR="00DF7B7D" w:rsidRDefault="00DF7B7D" w:rsidP="00DF7B7D">
      <w:pPr>
        <w:ind w:right="50"/>
        <w:jc w:val="both"/>
        <w:rPr>
          <w:b/>
          <w:i/>
        </w:rPr>
      </w:pPr>
    </w:p>
    <w:p w:rsidR="00DF7B7D" w:rsidRDefault="00DF7B7D" w:rsidP="00B857FE">
      <w:pPr>
        <w:ind w:right="-2"/>
        <w:jc w:val="both"/>
        <w:rPr>
          <w:b/>
          <w:i/>
          <w:u w:val="single"/>
        </w:rPr>
      </w:pPr>
      <w:r w:rsidRPr="00906AA4">
        <w:rPr>
          <w:b/>
          <w:bCs/>
          <w:u w:val="single"/>
        </w:rPr>
        <w:t>Régimen de facilidades de pago</w:t>
      </w:r>
      <w:r w:rsidR="00E9181F">
        <w:rPr>
          <w:b/>
          <w:bCs/>
          <w:u w:val="single"/>
        </w:rPr>
        <w:t xml:space="preserve"> para planes caducos cuya caducidad haya operado hasta el 30/04/2020. </w:t>
      </w:r>
    </w:p>
    <w:p w:rsidR="00DF7B7D" w:rsidRDefault="00DF7B7D" w:rsidP="00B857FE">
      <w:pPr>
        <w:ind w:right="-2"/>
        <w:jc w:val="both"/>
        <w:rPr>
          <w:b/>
          <w:i/>
          <w:u w:val="single"/>
        </w:rPr>
      </w:pPr>
    </w:p>
    <w:p w:rsidR="00AB3264" w:rsidRDefault="00DF7B7D" w:rsidP="00E9181F">
      <w:pPr>
        <w:ind w:right="-2"/>
        <w:jc w:val="both"/>
      </w:pPr>
      <w:r>
        <w:t>A través de la Resoluc</w:t>
      </w:r>
      <w:r w:rsidR="00113A43">
        <w:t>ión General 4</w:t>
      </w:r>
      <w:r w:rsidR="00E9181F">
        <w:t>718</w:t>
      </w:r>
      <w:r>
        <w:t xml:space="preserve"> </w:t>
      </w:r>
      <w:r w:rsidR="006D3C9F">
        <w:t xml:space="preserve">la Administración Federal de Ingresos Públicos establece un régimen de facilidades de pago para incorporar planes que hayan </w:t>
      </w:r>
      <w:r w:rsidR="006D3C9F" w:rsidRPr="006D3C9F">
        <w:t>caducado hasta el 30/</w:t>
      </w:r>
      <w:r w:rsidR="006D3C9F">
        <w:t>0</w:t>
      </w:r>
      <w:r w:rsidR="006D3C9F" w:rsidRPr="006D3C9F">
        <w:t xml:space="preserve">4/2020. La adhesión podrá realizarse hasta el </w:t>
      </w:r>
      <w:r w:rsidR="006D3C9F" w:rsidRPr="006D3C9F">
        <w:rPr>
          <w:b/>
          <w:u w:val="single"/>
        </w:rPr>
        <w:t>30/</w:t>
      </w:r>
      <w:r w:rsidR="006D3C9F">
        <w:rPr>
          <w:b/>
          <w:u w:val="single"/>
        </w:rPr>
        <w:t>0</w:t>
      </w:r>
      <w:r w:rsidR="006D3C9F" w:rsidRPr="006D3C9F">
        <w:rPr>
          <w:b/>
          <w:u w:val="single"/>
        </w:rPr>
        <w:t>6/2020</w:t>
      </w:r>
      <w:r w:rsidR="006D3C9F">
        <w:t xml:space="preserve">. </w:t>
      </w:r>
    </w:p>
    <w:p w:rsidR="00AB3264" w:rsidRDefault="00AB3264" w:rsidP="00E9181F">
      <w:pPr>
        <w:ind w:right="-2"/>
        <w:jc w:val="both"/>
      </w:pPr>
    </w:p>
    <w:p w:rsidR="00AB3264" w:rsidRDefault="00AB3264" w:rsidP="00E9181F">
      <w:pPr>
        <w:ind w:right="-2"/>
        <w:jc w:val="both"/>
      </w:pPr>
    </w:p>
    <w:p w:rsidR="00E9181F" w:rsidRDefault="006D3C9F" w:rsidP="00E9181F">
      <w:pPr>
        <w:ind w:right="-2"/>
        <w:jc w:val="both"/>
      </w:pPr>
      <w:r>
        <w:t xml:space="preserve">A continuación se detallan las principales características del presente régimen.  </w:t>
      </w:r>
    </w:p>
    <w:p w:rsidR="009745AB" w:rsidRDefault="009745AB" w:rsidP="00E9181F">
      <w:pPr>
        <w:ind w:right="-2"/>
        <w:jc w:val="both"/>
      </w:pPr>
    </w:p>
    <w:p w:rsidR="008F1E35" w:rsidRDefault="00F76A76" w:rsidP="00E9181F">
      <w:pPr>
        <w:pStyle w:val="Prrafodelista"/>
        <w:numPr>
          <w:ilvl w:val="0"/>
          <w:numId w:val="37"/>
        </w:numPr>
        <w:ind w:right="-2"/>
        <w:jc w:val="both"/>
      </w:pPr>
      <w:r w:rsidRPr="00FF0DAF">
        <w:t>Se</w:t>
      </w:r>
      <w:r w:rsidR="00E9181F">
        <w:t xml:space="preserve"> podrán incluir obligaciones impositivas, aduaneras y de los recursos de la seguridad social, incluidas en el </w:t>
      </w:r>
      <w:proofErr w:type="spellStart"/>
      <w:r w:rsidR="00E9181F">
        <w:t>Miniplan</w:t>
      </w:r>
      <w:proofErr w:type="spellEnd"/>
      <w:r w:rsidR="00E9181F">
        <w:t xml:space="preserve"> </w:t>
      </w:r>
      <w:r w:rsidR="006D3C9F">
        <w:t>(</w:t>
      </w:r>
      <w:r w:rsidR="00E9181F">
        <w:t>RG 4057-E</w:t>
      </w:r>
      <w:r w:rsidR="006D3C9F">
        <w:t>)</w:t>
      </w:r>
      <w:r w:rsidR="00E9181F">
        <w:t xml:space="preserve">, en el régimen de facilidades para monotributistas excluidos </w:t>
      </w:r>
      <w:r w:rsidR="006D3C9F">
        <w:t>(</w:t>
      </w:r>
      <w:r w:rsidR="00E9181F">
        <w:t>RG 4166</w:t>
      </w:r>
      <w:r w:rsidR="006D3C9F">
        <w:t>)</w:t>
      </w:r>
      <w:r w:rsidR="00D87180">
        <w:t xml:space="preserve"> y en el régimen permanente </w:t>
      </w:r>
      <w:r w:rsidR="006D3C9F">
        <w:t>(</w:t>
      </w:r>
      <w:r w:rsidR="00D87180">
        <w:t xml:space="preserve">RG </w:t>
      </w:r>
      <w:r w:rsidR="006D3C9F">
        <w:t>4268)</w:t>
      </w:r>
      <w:r w:rsidR="00D87180">
        <w:t>,  cuya caducidad haya operado hasta el 30/04/2020</w:t>
      </w:r>
      <w:r w:rsidR="00A20916">
        <w:t>.</w:t>
      </w:r>
    </w:p>
    <w:p w:rsidR="006D3C9F" w:rsidRDefault="006D3C9F" w:rsidP="006D3C9F">
      <w:pPr>
        <w:pStyle w:val="Prrafodelista"/>
        <w:ind w:right="-2"/>
        <w:jc w:val="both"/>
      </w:pPr>
    </w:p>
    <w:p w:rsidR="00A20916" w:rsidRDefault="00A20916" w:rsidP="00E9181F">
      <w:pPr>
        <w:pStyle w:val="Prrafodelista"/>
        <w:numPr>
          <w:ilvl w:val="0"/>
          <w:numId w:val="37"/>
        </w:numPr>
        <w:ind w:right="-2"/>
        <w:jc w:val="both"/>
      </w:pPr>
      <w:r>
        <w:t xml:space="preserve">Las cuotas serán mensuales, iguales y consecutivas, por un importe igual o superior a $1.000 y el plan no podrá exceder las </w:t>
      </w:r>
      <w:r w:rsidR="008640AE">
        <w:t>6</w:t>
      </w:r>
      <w:r>
        <w:t xml:space="preserve"> cuotas.</w:t>
      </w:r>
    </w:p>
    <w:p w:rsidR="006D3C9F" w:rsidRDefault="006D3C9F" w:rsidP="006D3C9F">
      <w:pPr>
        <w:ind w:right="-2"/>
        <w:jc w:val="both"/>
      </w:pPr>
    </w:p>
    <w:p w:rsidR="00A20916" w:rsidRDefault="00A20916" w:rsidP="00E9181F">
      <w:pPr>
        <w:pStyle w:val="Prrafodelista"/>
        <w:numPr>
          <w:ilvl w:val="0"/>
          <w:numId w:val="37"/>
        </w:numPr>
        <w:ind w:right="-2"/>
        <w:jc w:val="both"/>
      </w:pPr>
      <w:r>
        <w:t>La adhesión se realizará con clave fiscal a través del sistema “MIS FACILIDADE</w:t>
      </w:r>
      <w:r w:rsidR="006D3C9F">
        <w:t xml:space="preserve">S” del sitio web de la AFIP. </w:t>
      </w:r>
    </w:p>
    <w:p w:rsidR="006D3C9F" w:rsidRDefault="006D3C9F" w:rsidP="006D3C9F">
      <w:pPr>
        <w:ind w:right="-2"/>
        <w:jc w:val="both"/>
      </w:pPr>
    </w:p>
    <w:p w:rsidR="00A20916" w:rsidRDefault="00A20916" w:rsidP="00E9181F">
      <w:pPr>
        <w:pStyle w:val="Prrafodelista"/>
        <w:numPr>
          <w:ilvl w:val="0"/>
          <w:numId w:val="37"/>
        </w:numPr>
        <w:ind w:right="-2"/>
        <w:jc w:val="both"/>
      </w:pPr>
      <w:r>
        <w:t xml:space="preserve">La primera cuota vencerá el día 16/07/2020 y las cuotas subsiguientes vencerán el </w:t>
      </w:r>
      <w:r w:rsidR="00AF7A16">
        <w:t>día</w:t>
      </w:r>
      <w:r>
        <w:t xml:space="preserve"> 16 de cada mes, o el 26 en un segundo intento de débito y se cancelarán mediante el sistema de débito directo en cuenta bancaria.</w:t>
      </w:r>
    </w:p>
    <w:p w:rsidR="006D3C9F" w:rsidRDefault="006D3C9F" w:rsidP="006D3C9F">
      <w:pPr>
        <w:ind w:right="-2"/>
        <w:jc w:val="both"/>
      </w:pPr>
    </w:p>
    <w:p w:rsidR="00A47E09" w:rsidRPr="00A47E09" w:rsidRDefault="00A20916" w:rsidP="00A47E09">
      <w:pPr>
        <w:pStyle w:val="Prrafodelista"/>
        <w:numPr>
          <w:ilvl w:val="0"/>
          <w:numId w:val="37"/>
        </w:numPr>
        <w:ind w:right="-2"/>
        <w:jc w:val="both"/>
        <w:rPr>
          <w:sz w:val="22"/>
          <w:szCs w:val="22"/>
        </w:rPr>
      </w:pPr>
      <w:r>
        <w:t xml:space="preserve">La caducidad operara de pleno derecho y sin necesidad de intervención del Fisco cuando se produzca la falta de cancelación de dos cuotas consecutivas o alternadas, a los 60 </w:t>
      </w:r>
      <w:r w:rsidR="00AF7A16">
        <w:t>días</w:t>
      </w:r>
      <w:r>
        <w:t xml:space="preserve"> corridos posterior a la fecha de vencimiento de la segunda de ellas o a la falta de ingreso de la cuota no cancelada a los 60 días corridos conta</w:t>
      </w:r>
      <w:r w:rsidR="00AF7A16">
        <w:t xml:space="preserve">dos desde la fecha de vencimiento de la última cuota del plan. </w:t>
      </w:r>
    </w:p>
    <w:p w:rsidR="00A47E09" w:rsidRPr="00A47E09" w:rsidRDefault="00A47E09" w:rsidP="00A47E09">
      <w:pPr>
        <w:pStyle w:val="Prrafodelista"/>
        <w:rPr>
          <w:sz w:val="22"/>
          <w:szCs w:val="22"/>
        </w:rPr>
      </w:pPr>
    </w:p>
    <w:p w:rsidR="00A47E09" w:rsidRDefault="00A47E09" w:rsidP="00A47E09">
      <w:pPr>
        <w:pStyle w:val="Prrafodelista"/>
        <w:numPr>
          <w:ilvl w:val="0"/>
          <w:numId w:val="37"/>
        </w:numPr>
        <w:ind w:right="-2"/>
        <w:jc w:val="both"/>
      </w:pPr>
      <w:r w:rsidRPr="00A47E09">
        <w:t>Los sujetos que adhieran al presente régimen podrán solicitar por única vez, la cancelación anticipada total de la deuda comprendida en el plan de facilidades de pago, a partir del mes en que se produzca el vencimiento de la segunda cuota. Dicha solicitud deberá realizarse mediante el servicio con Clave Fiscal denomi</w:t>
      </w:r>
      <w:r>
        <w:t>nado “Presentaciones Digitales”</w:t>
      </w:r>
      <w:r w:rsidRPr="00A47E09">
        <w:t>, seleccionando el trámite “Planes de Pago. Anulaciones, cancelaciones anticipadas totales y otras”, e informando el número de plan a cancelar en forma anticipada.</w:t>
      </w:r>
    </w:p>
    <w:p w:rsidR="00A47E09" w:rsidRDefault="00A47E09" w:rsidP="00A47E09">
      <w:pPr>
        <w:pStyle w:val="Prrafodelista"/>
      </w:pPr>
    </w:p>
    <w:p w:rsidR="00A47E09" w:rsidRDefault="00A47E09" w:rsidP="00A47E09">
      <w:pPr>
        <w:pStyle w:val="Prrafodelista"/>
        <w:ind w:right="-2"/>
        <w:jc w:val="both"/>
      </w:pPr>
      <w:r w:rsidRPr="00A47E09">
        <w:lastRenderedPageBreak/>
        <w:t>Cuando la cancelación se efectúe mediante la generación de un Volante Electrónico de Pago, se deberá observar el procedimiento dispuesto por la </w:t>
      </w:r>
      <w:hyperlink r:id="rId8" w:tgtFrame="_blank" w:history="1">
        <w:r>
          <w:t>Resolución G</w:t>
        </w:r>
        <w:r w:rsidRPr="00A47E09">
          <w:t>eneral 4407</w:t>
        </w:r>
      </w:hyperlink>
      <w:r>
        <w:t xml:space="preserve"> (Ver Circular Impositiva N° 970). </w:t>
      </w:r>
    </w:p>
    <w:p w:rsidR="009745AB" w:rsidRDefault="009745AB" w:rsidP="00A47E09">
      <w:pPr>
        <w:pStyle w:val="Prrafodelista"/>
        <w:ind w:right="-2"/>
        <w:jc w:val="both"/>
      </w:pPr>
    </w:p>
    <w:p w:rsidR="009745AB" w:rsidRPr="00F76A76" w:rsidRDefault="009745AB" w:rsidP="009745AB">
      <w:pPr>
        <w:pStyle w:val="Textoindependiente"/>
        <w:numPr>
          <w:ilvl w:val="0"/>
          <w:numId w:val="37"/>
        </w:numPr>
        <w:ind w:right="-2"/>
      </w:pPr>
      <w:r>
        <w:t xml:space="preserve">Para realizar la adhesión al presente régimen el sistema informático </w:t>
      </w:r>
      <w:r w:rsidR="00CE3124">
        <w:t xml:space="preserve">“Mis Facilidades” </w:t>
      </w:r>
      <w:r>
        <w:t xml:space="preserve">se encontrará disponible a partir del 21/05/2020. </w:t>
      </w:r>
    </w:p>
    <w:p w:rsidR="009745AB" w:rsidRPr="00A47E09" w:rsidRDefault="009745AB" w:rsidP="009745AB">
      <w:pPr>
        <w:pStyle w:val="Prrafodelista"/>
        <w:ind w:right="-2"/>
        <w:jc w:val="both"/>
      </w:pPr>
    </w:p>
    <w:p w:rsidR="00A47E09" w:rsidRDefault="00A47E09" w:rsidP="00A47E09">
      <w:pPr>
        <w:pStyle w:val="Prrafodelista"/>
        <w:ind w:right="-2"/>
        <w:jc w:val="both"/>
        <w:rPr>
          <w:sz w:val="22"/>
          <w:szCs w:val="22"/>
        </w:rPr>
      </w:pPr>
    </w:p>
    <w:p w:rsidR="00104421" w:rsidRDefault="00104421" w:rsidP="00B857FE">
      <w:pPr>
        <w:ind w:right="-2"/>
        <w:jc w:val="both"/>
        <w:rPr>
          <w:sz w:val="22"/>
          <w:szCs w:val="22"/>
        </w:rPr>
      </w:pPr>
      <w:bookmarkStart w:id="0" w:name="_GoBack"/>
      <w:bookmarkEnd w:id="0"/>
    </w:p>
    <w:p w:rsidR="00A47E09" w:rsidRPr="00104421" w:rsidRDefault="00A47E09" w:rsidP="00B857FE">
      <w:pPr>
        <w:ind w:right="-2"/>
        <w:jc w:val="both"/>
        <w:rPr>
          <w:sz w:val="22"/>
          <w:szCs w:val="22"/>
        </w:rPr>
      </w:pPr>
    </w:p>
    <w:p w:rsidR="00DF7B7D" w:rsidRPr="008C34CF" w:rsidRDefault="00DF7B7D" w:rsidP="00B857FE">
      <w:pPr>
        <w:pStyle w:val="Textoindependiente"/>
        <w:ind w:right="-2"/>
      </w:pPr>
    </w:p>
    <w:p w:rsidR="00DF7B7D" w:rsidRPr="008C34CF" w:rsidRDefault="00DF7B7D" w:rsidP="00B857FE">
      <w:pPr>
        <w:pStyle w:val="Textoindependiente"/>
        <w:numPr>
          <w:ilvl w:val="0"/>
          <w:numId w:val="27"/>
        </w:numPr>
        <w:ind w:right="-2"/>
        <w:rPr>
          <w:b/>
          <w:u w:val="single"/>
        </w:rPr>
      </w:pPr>
      <w:r w:rsidRPr="008C34CF">
        <w:rPr>
          <w:b/>
          <w:u w:val="single"/>
        </w:rPr>
        <w:t>Vigencia</w:t>
      </w:r>
    </w:p>
    <w:p w:rsidR="00DF7B7D" w:rsidRPr="008C34CF" w:rsidRDefault="00DF7B7D" w:rsidP="00B857FE">
      <w:pPr>
        <w:pStyle w:val="Textoindependiente"/>
        <w:ind w:left="142" w:right="-2"/>
      </w:pPr>
    </w:p>
    <w:p w:rsidR="00F76A76" w:rsidRDefault="00DF7B7D" w:rsidP="009745AB">
      <w:pPr>
        <w:pStyle w:val="Textoindependiente"/>
        <w:ind w:right="-2"/>
      </w:pPr>
      <w:r w:rsidRPr="00F76A76">
        <w:t>Las disposiciones de la presente s</w:t>
      </w:r>
      <w:r w:rsidR="00B857FE">
        <w:t xml:space="preserve">erán de aplicación a partir </w:t>
      </w:r>
      <w:r w:rsidR="00AF7A16">
        <w:t xml:space="preserve">del 15 </w:t>
      </w:r>
      <w:r w:rsidR="00B857FE">
        <w:t xml:space="preserve">de </w:t>
      </w:r>
      <w:r w:rsidR="00AF7A16">
        <w:t>Mayo de 2020</w:t>
      </w:r>
      <w:r w:rsidR="009745AB">
        <w:t xml:space="preserve">. </w:t>
      </w:r>
      <w:r w:rsidR="00CE3124">
        <w:rPr>
          <w:rFonts w:ascii="Helvetica" w:hAnsi="Helvetica"/>
          <w:color w:val="666666"/>
          <w:sz w:val="20"/>
          <w:shd w:val="clear" w:color="auto" w:fill="F1F4F3"/>
        </w:rPr>
        <w:t> </w:t>
      </w:r>
    </w:p>
    <w:p w:rsidR="00C578AC" w:rsidRDefault="00C578AC" w:rsidP="00DF7B7D">
      <w:pPr>
        <w:pStyle w:val="Textoindependiente"/>
        <w:ind w:left="142" w:right="-568"/>
      </w:pPr>
    </w:p>
    <w:p w:rsidR="009745AB" w:rsidRDefault="009745AB" w:rsidP="00DF7B7D">
      <w:pPr>
        <w:pStyle w:val="Textoindependiente"/>
        <w:ind w:left="142" w:right="-568"/>
      </w:pPr>
    </w:p>
    <w:p w:rsidR="00AB3264" w:rsidRDefault="00AB3264" w:rsidP="00DF7B7D">
      <w:pPr>
        <w:pStyle w:val="Textoindependiente"/>
        <w:ind w:left="142" w:right="-568"/>
      </w:pPr>
    </w:p>
    <w:p w:rsidR="00AB3264" w:rsidRDefault="00AB3264" w:rsidP="00DF7B7D">
      <w:pPr>
        <w:pStyle w:val="Textoindependiente"/>
        <w:ind w:left="142" w:right="-568"/>
      </w:pPr>
    </w:p>
    <w:p w:rsidR="00104421" w:rsidRDefault="00113A43" w:rsidP="00DF7B7D">
      <w:pPr>
        <w:pStyle w:val="Textoindependiente"/>
        <w:ind w:right="-568"/>
        <w:jc w:val="left"/>
      </w:pPr>
      <w:r>
        <w:t xml:space="preserve">Buenos Aires, </w:t>
      </w:r>
      <w:r w:rsidR="00AF7A16">
        <w:t xml:space="preserve">15 </w:t>
      </w:r>
      <w:r w:rsidR="00DF7B7D" w:rsidRPr="008C34CF">
        <w:t>de</w:t>
      </w:r>
      <w:r w:rsidR="00AF7A16">
        <w:t xml:space="preserve"> Mayo</w:t>
      </w:r>
      <w:r w:rsidR="00104421">
        <w:t xml:space="preserve"> de 2020.</w:t>
      </w:r>
    </w:p>
    <w:p w:rsidR="00104421" w:rsidRDefault="00104421" w:rsidP="00DF7B7D">
      <w:pPr>
        <w:pStyle w:val="Textoindependiente"/>
        <w:ind w:right="-568"/>
        <w:jc w:val="left"/>
      </w:pPr>
    </w:p>
    <w:p w:rsidR="00104421" w:rsidRDefault="00104421" w:rsidP="00DF7B7D">
      <w:pPr>
        <w:pStyle w:val="Textoindependiente"/>
        <w:ind w:right="-568"/>
        <w:jc w:val="left"/>
      </w:pPr>
    </w:p>
    <w:p w:rsidR="00104421" w:rsidRDefault="00104421" w:rsidP="00DF7B7D">
      <w:pPr>
        <w:pStyle w:val="Textoindependiente"/>
        <w:ind w:right="-568"/>
        <w:jc w:val="left"/>
      </w:pPr>
    </w:p>
    <w:p w:rsidR="00C578AC" w:rsidRDefault="00C578AC" w:rsidP="00DF7B7D">
      <w:pPr>
        <w:pStyle w:val="Textoindependiente"/>
        <w:ind w:right="-568"/>
        <w:jc w:val="left"/>
      </w:pPr>
    </w:p>
    <w:p w:rsidR="00C578AC" w:rsidRPr="008C34CF" w:rsidRDefault="00C578AC" w:rsidP="00DF7B7D">
      <w:pPr>
        <w:pStyle w:val="Textoindependiente"/>
        <w:ind w:right="-568"/>
        <w:jc w:val="left"/>
      </w:pPr>
    </w:p>
    <w:p w:rsidR="00DF7B7D" w:rsidRDefault="00DF7B7D" w:rsidP="00DF7B7D">
      <w:pPr>
        <w:pStyle w:val="Textoindependiente"/>
      </w:pPr>
    </w:p>
    <w:p w:rsidR="00DF7B7D" w:rsidRPr="001F06E6" w:rsidRDefault="00DF7B7D" w:rsidP="00DF7B7D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DF7B7D" w:rsidRPr="001F06E6" w:rsidRDefault="00DF7B7D" w:rsidP="00DF7B7D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DF7B7D" w:rsidRDefault="00DF7B7D" w:rsidP="00DF7B7D">
      <w:pPr>
        <w:pStyle w:val="textocentradonegritanovedades"/>
        <w:spacing w:before="240" w:beforeAutospacing="0" w:afterAutospacing="0"/>
        <w:ind w:right="105"/>
      </w:pPr>
    </w:p>
    <w:sectPr w:rsidR="00DF7B7D" w:rsidSect="00AB3264">
      <w:headerReference w:type="default" r:id="rId9"/>
      <w:pgSz w:w="11906" w:h="16838"/>
      <w:pgMar w:top="1418" w:right="1133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AE" w:rsidRDefault="008640AE" w:rsidP="007E430E">
      <w:r>
        <w:separator/>
      </w:r>
    </w:p>
  </w:endnote>
  <w:endnote w:type="continuationSeparator" w:id="0">
    <w:p w:rsidR="008640AE" w:rsidRDefault="008640AE" w:rsidP="007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AE" w:rsidRDefault="008640AE" w:rsidP="007E430E">
      <w:r>
        <w:separator/>
      </w:r>
    </w:p>
  </w:footnote>
  <w:footnote w:type="continuationSeparator" w:id="0">
    <w:p w:rsidR="008640AE" w:rsidRDefault="008640AE" w:rsidP="007E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AE" w:rsidRDefault="008640AE" w:rsidP="00DF7B7D">
    <w:pPr>
      <w:pStyle w:val="Encabezado"/>
      <w:pBdr>
        <w:bottom w:val="single" w:sz="12" w:space="1" w:color="000080"/>
      </w:pBdr>
      <w:tabs>
        <w:tab w:val="right" w:pos="9417"/>
      </w:tabs>
      <w:jc w:val="both"/>
      <w:rPr>
        <w:b/>
        <w:color w:val="000080"/>
      </w:rPr>
    </w:pPr>
    <w:r>
      <w:rPr>
        <w:b/>
        <w:color w:val="000080"/>
      </w:rPr>
      <w:tab/>
    </w:r>
    <w:r>
      <w:rPr>
        <w:b/>
        <w:color w:val="000080"/>
      </w:rPr>
      <w:tab/>
      <w:t>FABETTI, BERTANI &amp; ASOCIADOS</w:t>
    </w:r>
  </w:p>
  <w:p w:rsidR="008640AE" w:rsidRDefault="008640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00A"/>
    <w:multiLevelType w:val="hybridMultilevel"/>
    <w:tmpl w:val="26062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6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0">
    <w:nsid w:val="20D41F39"/>
    <w:multiLevelType w:val="hybridMultilevel"/>
    <w:tmpl w:val="1C4C0A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C1C19"/>
    <w:multiLevelType w:val="hybridMultilevel"/>
    <w:tmpl w:val="4E069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3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6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8">
    <w:nsid w:val="5673386C"/>
    <w:multiLevelType w:val="hybridMultilevel"/>
    <w:tmpl w:val="9E7C9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1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62EB0C32"/>
    <w:multiLevelType w:val="hybridMultilevel"/>
    <w:tmpl w:val="045469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5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6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6"/>
  </w:num>
  <w:num w:numId="4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31"/>
  </w:num>
  <w:num w:numId="9">
    <w:abstractNumId w:val="7"/>
  </w:num>
  <w:num w:numId="10">
    <w:abstractNumId w:val="18"/>
  </w:num>
  <w:num w:numId="11">
    <w:abstractNumId w:val="13"/>
  </w:num>
  <w:num w:numId="12">
    <w:abstractNumId w:val="21"/>
  </w:num>
  <w:num w:numId="13">
    <w:abstractNumId w:val="22"/>
  </w:num>
  <w:num w:numId="14">
    <w:abstractNumId w:val="32"/>
  </w:num>
  <w:num w:numId="15">
    <w:abstractNumId w:val="27"/>
  </w:num>
  <w:num w:numId="16">
    <w:abstractNumId w:val="30"/>
  </w:num>
  <w:num w:numId="17">
    <w:abstractNumId w:val="23"/>
  </w:num>
  <w:num w:numId="18">
    <w:abstractNumId w:val="34"/>
  </w:num>
  <w:num w:numId="19">
    <w:abstractNumId w:val="9"/>
  </w:num>
  <w:num w:numId="20">
    <w:abstractNumId w:val="1"/>
  </w:num>
  <w:num w:numId="21">
    <w:abstractNumId w:val="5"/>
  </w:num>
  <w:num w:numId="22">
    <w:abstractNumId w:val="19"/>
  </w:num>
  <w:num w:numId="23">
    <w:abstractNumId w:val="2"/>
  </w:num>
  <w:num w:numId="24">
    <w:abstractNumId w:val="6"/>
  </w:num>
  <w:num w:numId="25">
    <w:abstractNumId w:val="35"/>
  </w:num>
  <w:num w:numId="26">
    <w:abstractNumId w:val="25"/>
  </w:num>
  <w:num w:numId="27">
    <w:abstractNumId w:val="37"/>
  </w:num>
  <w:num w:numId="28">
    <w:abstractNumId w:val="3"/>
  </w:num>
  <w:num w:numId="29">
    <w:abstractNumId w:val="15"/>
  </w:num>
  <w:num w:numId="30">
    <w:abstractNumId w:val="4"/>
  </w:num>
  <w:num w:numId="31">
    <w:abstractNumId w:val="24"/>
  </w:num>
  <w:num w:numId="32">
    <w:abstractNumId w:val="12"/>
  </w:num>
  <w:num w:numId="33">
    <w:abstractNumId w:val="16"/>
  </w:num>
  <w:num w:numId="34">
    <w:abstractNumId w:val="11"/>
  </w:num>
  <w:num w:numId="35">
    <w:abstractNumId w:val="0"/>
  </w:num>
  <w:num w:numId="36">
    <w:abstractNumId w:val="28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B7D"/>
    <w:rsid w:val="00081D5E"/>
    <w:rsid w:val="00104421"/>
    <w:rsid w:val="00113A43"/>
    <w:rsid w:val="002513BE"/>
    <w:rsid w:val="005C11E5"/>
    <w:rsid w:val="006D3C9F"/>
    <w:rsid w:val="007E430E"/>
    <w:rsid w:val="008640AE"/>
    <w:rsid w:val="008E5D66"/>
    <w:rsid w:val="008F1E35"/>
    <w:rsid w:val="00955803"/>
    <w:rsid w:val="009745AB"/>
    <w:rsid w:val="0099659C"/>
    <w:rsid w:val="00A20916"/>
    <w:rsid w:val="00A47E09"/>
    <w:rsid w:val="00AB3264"/>
    <w:rsid w:val="00AC4F80"/>
    <w:rsid w:val="00AF7A16"/>
    <w:rsid w:val="00B8280E"/>
    <w:rsid w:val="00B857FE"/>
    <w:rsid w:val="00BE7606"/>
    <w:rsid w:val="00C328FE"/>
    <w:rsid w:val="00C578AC"/>
    <w:rsid w:val="00CE3124"/>
    <w:rsid w:val="00D87180"/>
    <w:rsid w:val="00DF7B7D"/>
    <w:rsid w:val="00E9181F"/>
    <w:rsid w:val="00F76A76"/>
    <w:rsid w:val="00FF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190129065602834.docx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fpanique</dc:creator>
  <cp:keywords/>
  <dc:description/>
  <cp:lastModifiedBy>Paola</cp:lastModifiedBy>
  <cp:revision>10</cp:revision>
  <dcterms:created xsi:type="dcterms:W3CDTF">2020-05-15T15:46:00Z</dcterms:created>
  <dcterms:modified xsi:type="dcterms:W3CDTF">2020-05-15T20:16:00Z</dcterms:modified>
</cp:coreProperties>
</file>