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472" w:rsidRDefault="00534E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 </w:t>
      </w:r>
      <w:r w:rsidR="00561543">
        <w:rPr>
          <w:rFonts w:ascii="Times New Roman" w:eastAsia="Times New Roman" w:hAnsi="Times New Roman" w:cs="Times New Roman"/>
          <w:b/>
          <w:sz w:val="28"/>
          <w:u w:val="single"/>
        </w:rPr>
        <w:t xml:space="preserve">CIRCULAR IMPOSITIVA NRO. </w:t>
      </w:r>
      <w:r w:rsidR="005E154D">
        <w:rPr>
          <w:rFonts w:ascii="Times New Roman" w:eastAsia="Times New Roman" w:hAnsi="Times New Roman" w:cs="Times New Roman"/>
          <w:b/>
          <w:sz w:val="28"/>
          <w:u w:val="single"/>
        </w:rPr>
        <w:t>1050</w:t>
      </w:r>
    </w:p>
    <w:p w:rsidR="00632472" w:rsidRDefault="00632472">
      <w:pPr>
        <w:keepNext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</w:p>
    <w:p w:rsidR="00632472" w:rsidRDefault="0063247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32472" w:rsidRDefault="00F057B7">
      <w:pPr>
        <w:keepNext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Resolución General N° </w:t>
      </w:r>
      <w:r w:rsidR="003F3D63">
        <w:rPr>
          <w:rFonts w:ascii="Times New Roman" w:eastAsia="Times New Roman" w:hAnsi="Times New Roman" w:cs="Times New Roman"/>
          <w:b/>
          <w:i/>
          <w:sz w:val="24"/>
        </w:rPr>
        <w:t>4</w:t>
      </w:r>
      <w:r>
        <w:rPr>
          <w:rFonts w:ascii="Times New Roman" w:eastAsia="Times New Roman" w:hAnsi="Times New Roman" w:cs="Times New Roman"/>
          <w:b/>
          <w:i/>
          <w:sz w:val="24"/>
        </w:rPr>
        <w:t>6</w:t>
      </w:r>
      <w:r w:rsidR="002B69C5">
        <w:rPr>
          <w:rFonts w:ascii="Times New Roman" w:eastAsia="Times New Roman" w:hAnsi="Times New Roman" w:cs="Times New Roman"/>
          <w:b/>
          <w:i/>
          <w:sz w:val="24"/>
        </w:rPr>
        <w:t>90</w:t>
      </w:r>
      <w:r w:rsidR="00561543">
        <w:rPr>
          <w:rFonts w:ascii="Times New Roman" w:eastAsia="Times New Roman" w:hAnsi="Times New Roman" w:cs="Times New Roman"/>
          <w:b/>
          <w:i/>
          <w:sz w:val="24"/>
        </w:rPr>
        <w:t xml:space="preserve"> AFIP</w:t>
      </w:r>
    </w:p>
    <w:p w:rsidR="002B69C5" w:rsidRDefault="003F3D63">
      <w:pPr>
        <w:keepNext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Fecha de Norma: </w:t>
      </w:r>
      <w:r w:rsidR="002B69C5">
        <w:rPr>
          <w:rFonts w:ascii="Times New Roman" w:eastAsia="Times New Roman" w:hAnsi="Times New Roman" w:cs="Times New Roman"/>
          <w:b/>
          <w:i/>
          <w:sz w:val="24"/>
        </w:rPr>
        <w:t>30/03/2020</w:t>
      </w:r>
    </w:p>
    <w:p w:rsidR="00632472" w:rsidRDefault="003F3D63">
      <w:pPr>
        <w:keepNext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Boletín Oficial</w:t>
      </w:r>
      <w:r w:rsidR="007B68EC">
        <w:rPr>
          <w:rFonts w:ascii="Times New Roman" w:eastAsia="Times New Roman" w:hAnsi="Times New Roman" w:cs="Times New Roman"/>
          <w:b/>
          <w:i/>
          <w:sz w:val="24"/>
        </w:rPr>
        <w:t>: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 w:rsidR="002B69C5">
        <w:rPr>
          <w:rFonts w:ascii="Times New Roman" w:eastAsia="Times New Roman" w:hAnsi="Times New Roman" w:cs="Times New Roman"/>
          <w:b/>
          <w:i/>
          <w:sz w:val="24"/>
        </w:rPr>
        <w:t>01/04/2020</w:t>
      </w:r>
    </w:p>
    <w:p w:rsidR="00632472" w:rsidRDefault="0063247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32472" w:rsidRDefault="006324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:rsidR="00632472" w:rsidRDefault="006324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:rsidR="002B69C5" w:rsidRDefault="002B69C5" w:rsidP="002B69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u w:val="single"/>
        </w:rPr>
      </w:pPr>
      <w:r w:rsidRPr="00877014">
        <w:rPr>
          <w:rFonts w:ascii="Times New Roman" w:eastAsia="Times New Roman" w:hAnsi="Times New Roman" w:cs="Times New Roman"/>
          <w:b/>
          <w:i/>
          <w:sz w:val="24"/>
          <w:u w:val="single"/>
        </w:rPr>
        <w:t>Se prorroga la moratoria impositiva, aduanera y previsional para monotributistas, autónomos y demás contribuyentes mipymes, y para asociaciones sin fines de lucro</w:t>
      </w:r>
      <w:r>
        <w:t>.</w:t>
      </w:r>
    </w:p>
    <w:p w:rsidR="002B69C5" w:rsidRDefault="002B69C5" w:rsidP="002B69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B69C5" w:rsidRDefault="002B69C5" w:rsidP="002B69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Cs/>
          <w:sz w:val="24"/>
        </w:rPr>
        <w:t xml:space="preserve">A través de la </w:t>
      </w:r>
      <w:r w:rsidR="00520041">
        <w:rPr>
          <w:rFonts w:ascii="Times New Roman" w:eastAsia="Times New Roman" w:hAnsi="Times New Roman" w:cs="Times New Roman"/>
          <w:iCs/>
          <w:sz w:val="24"/>
        </w:rPr>
        <w:t>RG 4690 la AFIP introduce modificaciones a la</w:t>
      </w:r>
      <w:r>
        <w:rPr>
          <w:rFonts w:ascii="Times New Roman" w:eastAsia="Times New Roman" w:hAnsi="Times New Roman" w:cs="Times New Roman"/>
          <w:iCs/>
          <w:sz w:val="24"/>
        </w:rPr>
        <w:t xml:space="preserve"> moratoria impositiva, aduanera y previsional para monotributistas, autónomos y demás contribuyentes mipymes, y para asociaciones sin fines de lucro </w:t>
      </w:r>
      <w:r w:rsidR="00520041">
        <w:rPr>
          <w:rFonts w:ascii="Times New Roman" w:eastAsia="Times New Roman" w:hAnsi="Times New Roman" w:cs="Times New Roman"/>
          <w:sz w:val="24"/>
        </w:rPr>
        <w:t>(ver Circular 1032)</w:t>
      </w:r>
      <w:r w:rsidRPr="003F3D63">
        <w:rPr>
          <w:rFonts w:ascii="Times New Roman" w:eastAsia="Times New Roman" w:hAnsi="Times New Roman" w:cs="Times New Roman"/>
          <w:iCs/>
          <w:sz w:val="24"/>
        </w:rPr>
        <w:t>.</w:t>
      </w:r>
    </w:p>
    <w:p w:rsidR="00171EFB" w:rsidRDefault="00171EFB" w:rsidP="00685A19">
      <w:pPr>
        <w:pStyle w:val="Textoindependiente"/>
        <w:widowControl w:val="0"/>
        <w:tabs>
          <w:tab w:val="left" w:pos="9356"/>
        </w:tabs>
        <w:ind w:right="0"/>
        <w:rPr>
          <w:b/>
          <w:lang w:val="es-AR" w:eastAsia="es-AR"/>
        </w:rPr>
      </w:pPr>
    </w:p>
    <w:p w:rsidR="00623AD5" w:rsidRDefault="00623AD5" w:rsidP="00685A19">
      <w:pPr>
        <w:pStyle w:val="Textoindependiente"/>
        <w:widowControl w:val="0"/>
        <w:tabs>
          <w:tab w:val="left" w:pos="9356"/>
        </w:tabs>
        <w:ind w:right="0"/>
        <w:rPr>
          <w:b/>
          <w:lang w:val="es-AR" w:eastAsia="es-AR"/>
        </w:rPr>
      </w:pPr>
    </w:p>
    <w:p w:rsidR="00277487" w:rsidRDefault="00277487" w:rsidP="00685A19">
      <w:pPr>
        <w:pStyle w:val="Textoindependiente"/>
        <w:widowControl w:val="0"/>
        <w:tabs>
          <w:tab w:val="left" w:pos="9356"/>
        </w:tabs>
        <w:ind w:right="0"/>
        <w:rPr>
          <w:b/>
          <w:lang w:val="es-AR" w:eastAsia="es-AR"/>
        </w:rPr>
      </w:pPr>
    </w:p>
    <w:p w:rsidR="00623AD5" w:rsidRPr="00B42267" w:rsidRDefault="00623AD5" w:rsidP="00685A19">
      <w:pPr>
        <w:pStyle w:val="Textoindependiente"/>
        <w:widowControl w:val="0"/>
        <w:tabs>
          <w:tab w:val="left" w:pos="9356"/>
        </w:tabs>
        <w:ind w:right="0"/>
        <w:rPr>
          <w:lang w:val="es-AR" w:eastAsia="es-AR"/>
        </w:rPr>
      </w:pPr>
      <w:r w:rsidRPr="00B42267">
        <w:rPr>
          <w:lang w:val="es-AR" w:eastAsia="es-AR"/>
        </w:rPr>
        <w:t>Las principales modificaciones introducidas son las que se detallan a continuación:</w:t>
      </w:r>
    </w:p>
    <w:p w:rsidR="00B8177D" w:rsidRDefault="00B817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42267" w:rsidRDefault="00B422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71EFB" w:rsidRPr="00DE5430" w:rsidRDefault="00B24FAB" w:rsidP="00241B1B">
      <w:pPr>
        <w:pStyle w:val="Textoindependiente"/>
        <w:widowControl w:val="0"/>
        <w:numPr>
          <w:ilvl w:val="0"/>
          <w:numId w:val="1"/>
        </w:numPr>
        <w:ind w:left="426" w:right="0"/>
        <w:rPr>
          <w:b/>
          <w:szCs w:val="24"/>
          <w:u w:val="single"/>
          <w:lang w:val="es-AR"/>
        </w:rPr>
      </w:pPr>
      <w:r w:rsidRPr="00DE5430">
        <w:rPr>
          <w:b/>
          <w:szCs w:val="24"/>
          <w:u w:val="single"/>
          <w:lang w:val="es-AR"/>
        </w:rPr>
        <w:t>Alcance</w:t>
      </w:r>
    </w:p>
    <w:p w:rsidR="00277487" w:rsidRDefault="00277487" w:rsidP="00277487">
      <w:pPr>
        <w:pStyle w:val="Textoindependiente"/>
        <w:widowControl w:val="0"/>
        <w:tabs>
          <w:tab w:val="left" w:pos="9356"/>
        </w:tabs>
        <w:ind w:right="0"/>
        <w:rPr>
          <w:b/>
          <w:lang w:val="es-AR" w:eastAsia="es-AR"/>
        </w:rPr>
      </w:pPr>
    </w:p>
    <w:p w:rsidR="00277487" w:rsidRPr="00277487" w:rsidRDefault="00277487" w:rsidP="00277487">
      <w:pPr>
        <w:pStyle w:val="Textoindependiente"/>
        <w:widowControl w:val="0"/>
        <w:tabs>
          <w:tab w:val="left" w:pos="9356"/>
        </w:tabs>
        <w:ind w:left="426" w:right="0"/>
        <w:rPr>
          <w:lang w:val="es-AR" w:eastAsia="es-AR"/>
        </w:rPr>
      </w:pPr>
      <w:r w:rsidRPr="00277487">
        <w:rPr>
          <w:lang w:val="es-AR" w:eastAsia="es-AR"/>
        </w:rPr>
        <w:t>El acogimiento podrá</w:t>
      </w:r>
      <w:r w:rsidRPr="00277487">
        <w:rPr>
          <w:lang w:val="es-AR" w:eastAsia="es-AR"/>
        </w:rPr>
        <w:t xml:space="preserve"> formalizarse </w:t>
      </w:r>
      <w:r w:rsidRPr="00277487">
        <w:rPr>
          <w:b/>
          <w:lang w:val="es-AR" w:eastAsia="es-AR"/>
        </w:rPr>
        <w:t xml:space="preserve">hasta el 30 de </w:t>
      </w:r>
      <w:r w:rsidRPr="00277487">
        <w:rPr>
          <w:b/>
          <w:lang w:val="es-AR" w:eastAsia="es-AR"/>
        </w:rPr>
        <w:t>Junio</w:t>
      </w:r>
      <w:r w:rsidRPr="00277487">
        <w:rPr>
          <w:b/>
          <w:lang w:val="es-AR" w:eastAsia="es-AR"/>
        </w:rPr>
        <w:t xml:space="preserve"> de 2020</w:t>
      </w:r>
      <w:r w:rsidRPr="00277487">
        <w:rPr>
          <w:lang w:val="es-AR" w:eastAsia="es-AR"/>
        </w:rPr>
        <w:t>.</w:t>
      </w:r>
    </w:p>
    <w:p w:rsidR="00171EFB" w:rsidRPr="00DE5430" w:rsidRDefault="00171EFB" w:rsidP="00241B1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1EFB" w:rsidRPr="00DE5430" w:rsidRDefault="00171EFB" w:rsidP="00241B1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692B" w:rsidRPr="00392693" w:rsidRDefault="007E692B" w:rsidP="007E692B">
      <w:pPr>
        <w:pStyle w:val="Textoindependiente"/>
        <w:widowControl w:val="0"/>
        <w:numPr>
          <w:ilvl w:val="0"/>
          <w:numId w:val="1"/>
        </w:numPr>
        <w:ind w:left="426" w:right="0"/>
        <w:rPr>
          <w:b/>
          <w:u w:val="single"/>
          <w:lang w:val="es-AR"/>
        </w:rPr>
      </w:pPr>
      <w:r>
        <w:rPr>
          <w:b/>
          <w:u w:val="single"/>
          <w:lang w:val="es-AR"/>
        </w:rPr>
        <w:t>Requisitos para la adhesión</w:t>
      </w:r>
    </w:p>
    <w:p w:rsidR="007E692B" w:rsidRDefault="007E692B" w:rsidP="007E692B">
      <w:pPr>
        <w:pStyle w:val="Textoindependiente"/>
        <w:widowControl w:val="0"/>
        <w:tabs>
          <w:tab w:val="left" w:pos="9356"/>
        </w:tabs>
        <w:ind w:left="426" w:right="0"/>
        <w:rPr>
          <w:szCs w:val="24"/>
          <w:lang w:val="es-AR" w:eastAsia="es-AR"/>
        </w:rPr>
      </w:pPr>
    </w:p>
    <w:p w:rsidR="00685A19" w:rsidRPr="00BA6965" w:rsidRDefault="00685A19" w:rsidP="007E692B">
      <w:pPr>
        <w:pStyle w:val="Textoindependiente"/>
        <w:widowControl w:val="0"/>
        <w:tabs>
          <w:tab w:val="left" w:pos="9356"/>
        </w:tabs>
        <w:ind w:left="426" w:right="0"/>
        <w:rPr>
          <w:lang w:val="es-ES"/>
        </w:rPr>
      </w:pPr>
      <w:r w:rsidRPr="00685A19">
        <w:rPr>
          <w:lang w:val="es-ES"/>
        </w:rPr>
        <w:t>De tratarse de contribuyentes que revistan la condició</w:t>
      </w:r>
      <w:r w:rsidR="00733BE0">
        <w:rPr>
          <w:lang w:val="es-ES"/>
        </w:rPr>
        <w:t xml:space="preserve">n de micro, pequeñas y medianas </w:t>
      </w:r>
      <w:r w:rsidRPr="00685A19">
        <w:rPr>
          <w:lang w:val="es-ES"/>
        </w:rPr>
        <w:t xml:space="preserve">empresas, obtener el “Certificado </w:t>
      </w:r>
      <w:proofErr w:type="spellStart"/>
      <w:r w:rsidRPr="00685A19">
        <w:rPr>
          <w:lang w:val="es-ES"/>
        </w:rPr>
        <w:t>MiPyME</w:t>
      </w:r>
      <w:proofErr w:type="spellEnd"/>
      <w:r w:rsidRPr="00685A19">
        <w:rPr>
          <w:lang w:val="es-ES"/>
        </w:rPr>
        <w:t>”</w:t>
      </w:r>
      <w:r w:rsidR="00733BE0">
        <w:rPr>
          <w:lang w:val="es-ES"/>
        </w:rPr>
        <w:t>,</w:t>
      </w:r>
      <w:r w:rsidRPr="00685A19">
        <w:rPr>
          <w:lang w:val="es-ES"/>
        </w:rPr>
        <w:t xml:space="preserve"> </w:t>
      </w:r>
      <w:r w:rsidRPr="00733BE0">
        <w:rPr>
          <w:b/>
          <w:lang w:val="es-ES"/>
        </w:rPr>
        <w:t xml:space="preserve">hasta el día </w:t>
      </w:r>
      <w:r w:rsidR="002B69C5">
        <w:rPr>
          <w:b/>
          <w:lang w:val="es-ES"/>
        </w:rPr>
        <w:t>30 de junio</w:t>
      </w:r>
      <w:r w:rsidRPr="00733BE0">
        <w:rPr>
          <w:b/>
          <w:lang w:val="es-ES"/>
        </w:rPr>
        <w:t xml:space="preserve"> de 2020</w:t>
      </w:r>
      <w:r w:rsidR="00733BE0">
        <w:rPr>
          <w:lang w:val="es-ES"/>
        </w:rPr>
        <w:t>.</w:t>
      </w:r>
    </w:p>
    <w:p w:rsidR="00685A19" w:rsidRDefault="00685A19" w:rsidP="00241B1B">
      <w:pPr>
        <w:pStyle w:val="Textoindependiente"/>
        <w:widowControl w:val="0"/>
        <w:tabs>
          <w:tab w:val="left" w:pos="9356"/>
        </w:tabs>
        <w:ind w:left="426" w:right="0"/>
        <w:rPr>
          <w:color w:val="FF0000"/>
          <w:lang w:val="es-AR" w:eastAsia="es-AR"/>
        </w:rPr>
      </w:pPr>
    </w:p>
    <w:p w:rsidR="00277487" w:rsidRPr="00733BE0" w:rsidRDefault="00277487" w:rsidP="00241B1B">
      <w:pPr>
        <w:pStyle w:val="Textoindependiente"/>
        <w:widowControl w:val="0"/>
        <w:tabs>
          <w:tab w:val="left" w:pos="9356"/>
        </w:tabs>
        <w:ind w:left="426" w:right="0"/>
        <w:rPr>
          <w:color w:val="FF0000"/>
          <w:lang w:val="es-AR" w:eastAsia="es-AR"/>
        </w:rPr>
      </w:pPr>
    </w:p>
    <w:p w:rsidR="00B8177D" w:rsidRPr="00241B1B" w:rsidRDefault="00B8177D" w:rsidP="00241B1B">
      <w:pPr>
        <w:pStyle w:val="Textoindependiente"/>
        <w:widowControl w:val="0"/>
        <w:numPr>
          <w:ilvl w:val="0"/>
          <w:numId w:val="1"/>
        </w:numPr>
        <w:ind w:left="426" w:right="0"/>
        <w:rPr>
          <w:b/>
          <w:u w:val="single"/>
          <w:lang w:val="es-AR"/>
        </w:rPr>
      </w:pPr>
      <w:r w:rsidRPr="0048205C">
        <w:rPr>
          <w:b/>
          <w:u w:val="single"/>
          <w:lang w:val="es-AR"/>
        </w:rPr>
        <w:t>Anulación del plan y nueva solicitud</w:t>
      </w:r>
      <w:r w:rsidR="0048205C" w:rsidRPr="0048205C">
        <w:rPr>
          <w:b/>
          <w:u w:val="single"/>
          <w:lang w:val="es-AR"/>
        </w:rPr>
        <w:t>. Efectos.</w:t>
      </w:r>
    </w:p>
    <w:p w:rsidR="00B8177D" w:rsidRPr="00733BE0" w:rsidRDefault="00B8177D" w:rsidP="00241B1B">
      <w:pPr>
        <w:pStyle w:val="Textoindependiente"/>
        <w:widowControl w:val="0"/>
        <w:ind w:left="426" w:right="0"/>
        <w:rPr>
          <w:color w:val="FF0000"/>
          <w:lang w:val="es-AR" w:eastAsia="es-AR"/>
        </w:rPr>
      </w:pPr>
    </w:p>
    <w:p w:rsidR="0048205C" w:rsidRDefault="0048205C" w:rsidP="00241B1B">
      <w:pPr>
        <w:pStyle w:val="Textoindependiente"/>
        <w:widowControl w:val="0"/>
        <w:tabs>
          <w:tab w:val="left" w:pos="9356"/>
        </w:tabs>
        <w:ind w:left="426" w:right="0"/>
        <w:rPr>
          <w:lang w:val="es-ES"/>
        </w:rPr>
      </w:pPr>
      <w:r w:rsidRPr="0048205C">
        <w:rPr>
          <w:lang w:val="es-ES"/>
        </w:rPr>
        <w:t xml:space="preserve">Los contribuyentes y responsables -ante la detección de errores- podrán solicitar hasta el día </w:t>
      </w:r>
      <w:r w:rsidR="002B69C5">
        <w:rPr>
          <w:lang w:val="es-ES"/>
        </w:rPr>
        <w:t>30 de junio</w:t>
      </w:r>
      <w:r w:rsidRPr="0048205C">
        <w:rPr>
          <w:lang w:val="es-ES"/>
        </w:rPr>
        <w:t xml:space="preserve"> de 2020 la anulación de la adhesión al régimen mediante el servicio con clave fiscal denominado “Presentaciones Digitales”, en la que se fundamentará el motivo de la solicitud de anulación a fin de efectuar una nueva adhesión</w:t>
      </w:r>
      <w:r>
        <w:rPr>
          <w:lang w:val="es-ES"/>
        </w:rPr>
        <w:t>.</w:t>
      </w:r>
    </w:p>
    <w:p w:rsidR="0048205C" w:rsidRDefault="0048205C" w:rsidP="0048205C">
      <w:pPr>
        <w:pStyle w:val="Textoindependiente"/>
        <w:widowControl w:val="0"/>
        <w:tabs>
          <w:tab w:val="left" w:pos="9356"/>
        </w:tabs>
        <w:ind w:left="426" w:right="0"/>
        <w:rPr>
          <w:b/>
          <w:u w:val="single"/>
          <w:lang w:val="es-AR" w:eastAsia="es-AR"/>
        </w:rPr>
      </w:pPr>
    </w:p>
    <w:p w:rsidR="00277487" w:rsidRPr="005D3AAA" w:rsidRDefault="00277487" w:rsidP="0048205C">
      <w:pPr>
        <w:pStyle w:val="Textoindependiente"/>
        <w:widowControl w:val="0"/>
        <w:tabs>
          <w:tab w:val="left" w:pos="9356"/>
        </w:tabs>
        <w:ind w:left="426" w:right="0"/>
        <w:rPr>
          <w:b/>
          <w:u w:val="single"/>
          <w:lang w:val="es-AR" w:eastAsia="es-AR"/>
        </w:rPr>
      </w:pPr>
    </w:p>
    <w:p w:rsidR="00D05073" w:rsidRDefault="005D3AAA" w:rsidP="005D3AAA">
      <w:pPr>
        <w:pStyle w:val="Textoindependiente"/>
        <w:widowControl w:val="0"/>
        <w:numPr>
          <w:ilvl w:val="0"/>
          <w:numId w:val="22"/>
        </w:numPr>
        <w:tabs>
          <w:tab w:val="left" w:pos="9356"/>
        </w:tabs>
        <w:ind w:right="0"/>
        <w:rPr>
          <w:b/>
          <w:u w:val="single"/>
          <w:lang w:val="es-AR" w:eastAsia="es-AR"/>
        </w:rPr>
      </w:pPr>
      <w:r w:rsidRPr="005D3AAA">
        <w:rPr>
          <w:b/>
          <w:u w:val="single"/>
          <w:lang w:val="es-AR" w:eastAsia="es-AR"/>
        </w:rPr>
        <w:t>Beneficio a la adhesión.</w:t>
      </w:r>
    </w:p>
    <w:p w:rsidR="005D3AAA" w:rsidRPr="005D3AAA" w:rsidRDefault="005D3AAA" w:rsidP="005D3AAA">
      <w:pPr>
        <w:pStyle w:val="Textoindependiente"/>
        <w:widowControl w:val="0"/>
        <w:tabs>
          <w:tab w:val="left" w:pos="9356"/>
        </w:tabs>
        <w:ind w:right="0"/>
        <w:rPr>
          <w:b/>
          <w:u w:val="single"/>
          <w:lang w:val="es-AR" w:eastAsia="es-AR"/>
        </w:rPr>
      </w:pPr>
    </w:p>
    <w:p w:rsidR="00AF5373" w:rsidRDefault="00EB39AB" w:rsidP="005D3AAA">
      <w:pPr>
        <w:pStyle w:val="Textoindependiente"/>
        <w:widowControl w:val="0"/>
        <w:tabs>
          <w:tab w:val="left" w:pos="9356"/>
        </w:tabs>
        <w:ind w:left="426" w:right="0"/>
        <w:rPr>
          <w:lang w:val="es-AR" w:eastAsia="es-AR"/>
        </w:rPr>
      </w:pPr>
      <w:r w:rsidRPr="00EB39AB">
        <w:rPr>
          <w:lang w:val="es-AR" w:eastAsia="es-AR"/>
        </w:rPr>
        <w:t xml:space="preserve">El beneficio de condonación de intereses y multas correspondientes a obligaciones de capital canceladas con anterioridad </w:t>
      </w:r>
      <w:r w:rsidRPr="00CE5AE4">
        <w:rPr>
          <w:lang w:val="es-AR" w:eastAsia="es-AR"/>
        </w:rPr>
        <w:t>a</w:t>
      </w:r>
      <w:r>
        <w:rPr>
          <w:lang w:val="es-AR" w:eastAsia="es-AR"/>
        </w:rPr>
        <w:t>l 23 de Diciembre de 2019</w:t>
      </w:r>
      <w:r w:rsidRPr="00CE5AE4">
        <w:rPr>
          <w:lang w:val="es-AR" w:eastAsia="es-AR"/>
        </w:rPr>
        <w:t xml:space="preserve"> </w:t>
      </w:r>
      <w:r>
        <w:rPr>
          <w:lang w:val="es-AR" w:eastAsia="es-AR"/>
        </w:rPr>
        <w:t>(</w:t>
      </w:r>
      <w:r w:rsidRPr="00CE5AE4">
        <w:rPr>
          <w:lang w:val="es-AR" w:eastAsia="es-AR"/>
        </w:rPr>
        <w:t xml:space="preserve">fecha de entrada en vigencia de la </w:t>
      </w:r>
      <w:r>
        <w:rPr>
          <w:lang w:val="es-AR" w:eastAsia="es-AR"/>
        </w:rPr>
        <w:t>L</w:t>
      </w:r>
      <w:r w:rsidRPr="00CE5AE4">
        <w:rPr>
          <w:lang w:val="es-AR" w:eastAsia="es-AR"/>
        </w:rPr>
        <w:t>ey</w:t>
      </w:r>
      <w:r>
        <w:rPr>
          <w:lang w:val="es-AR" w:eastAsia="es-AR"/>
        </w:rPr>
        <w:t xml:space="preserve"> 27.541) </w:t>
      </w:r>
      <w:r w:rsidRPr="00EB39AB">
        <w:rPr>
          <w:lang w:val="es-AR" w:eastAsia="es-AR"/>
        </w:rPr>
        <w:t>se registrará en forma automática en el sistema “Cuentas Tributarias” así como en el</w:t>
      </w:r>
      <w:r w:rsidR="00277487">
        <w:rPr>
          <w:lang w:val="es-AR" w:eastAsia="es-AR"/>
        </w:rPr>
        <w:t xml:space="preserve"> </w:t>
      </w:r>
      <w:r w:rsidRPr="00EB39AB">
        <w:rPr>
          <w:lang w:val="es-AR" w:eastAsia="es-AR"/>
        </w:rPr>
        <w:lastRenderedPageBreak/>
        <w:t>servicio</w:t>
      </w:r>
      <w:r w:rsidR="00277487">
        <w:rPr>
          <w:lang w:val="es-AR" w:eastAsia="es-AR"/>
        </w:rPr>
        <w:t xml:space="preserve"> </w:t>
      </w:r>
      <w:r w:rsidRPr="00EB39AB">
        <w:rPr>
          <w:lang w:val="es-AR" w:eastAsia="es-AR"/>
        </w:rPr>
        <w:t>con clave fiscal “CCMA - Cuenta Corriente de Monotributistas y Autónomos”.</w:t>
      </w:r>
      <w:r>
        <w:rPr>
          <w:lang w:val="es-AR" w:eastAsia="es-AR"/>
        </w:rPr>
        <w:t xml:space="preserve"> </w:t>
      </w:r>
      <w:r w:rsidR="00D05073" w:rsidRPr="00EB39AB">
        <w:rPr>
          <w:b/>
          <w:lang w:val="es-AR" w:eastAsia="es-AR"/>
        </w:rPr>
        <w:t>Será requisito para hacer efectivo el beneficio de condonación obtener</w:t>
      </w:r>
      <w:r w:rsidR="005D51EE" w:rsidRPr="00EB39AB">
        <w:rPr>
          <w:b/>
          <w:lang w:val="es-AR" w:eastAsia="es-AR"/>
        </w:rPr>
        <w:t xml:space="preserve"> el “Certificado MiPy</w:t>
      </w:r>
      <w:r w:rsidR="00D05073" w:rsidRPr="00EB39AB">
        <w:rPr>
          <w:b/>
          <w:lang w:val="es-AR" w:eastAsia="es-AR"/>
        </w:rPr>
        <w:t>ME</w:t>
      </w:r>
      <w:r w:rsidR="005D51EE" w:rsidRPr="00EB39AB">
        <w:rPr>
          <w:b/>
          <w:lang w:val="es-AR" w:eastAsia="es-AR"/>
        </w:rPr>
        <w:t>”</w:t>
      </w:r>
      <w:r>
        <w:rPr>
          <w:b/>
          <w:lang w:val="es-AR" w:eastAsia="es-AR"/>
        </w:rPr>
        <w:t xml:space="preserve"> hasta el 30 de </w:t>
      </w:r>
      <w:r w:rsidR="002B69C5">
        <w:rPr>
          <w:b/>
          <w:lang w:val="es-AR" w:eastAsia="es-AR"/>
        </w:rPr>
        <w:t>junio</w:t>
      </w:r>
      <w:r>
        <w:rPr>
          <w:b/>
          <w:lang w:val="es-AR" w:eastAsia="es-AR"/>
        </w:rPr>
        <w:t xml:space="preserve"> de 2020.</w:t>
      </w:r>
    </w:p>
    <w:p w:rsidR="005D3AAA" w:rsidRDefault="005D3AAA" w:rsidP="005D3AAA">
      <w:pPr>
        <w:pStyle w:val="Textoindependiente"/>
        <w:widowControl w:val="0"/>
        <w:tabs>
          <w:tab w:val="left" w:pos="9356"/>
        </w:tabs>
        <w:ind w:left="426" w:right="0"/>
        <w:rPr>
          <w:lang w:val="es-AR" w:eastAsia="es-AR"/>
        </w:rPr>
      </w:pPr>
    </w:p>
    <w:p w:rsidR="006C1632" w:rsidRDefault="006C1632" w:rsidP="00AF5373">
      <w:pPr>
        <w:pStyle w:val="Textoindependiente"/>
        <w:widowControl w:val="0"/>
        <w:tabs>
          <w:tab w:val="left" w:pos="426"/>
        </w:tabs>
        <w:ind w:left="786" w:right="0"/>
        <w:rPr>
          <w:lang w:val="es-AR" w:eastAsia="es-AR"/>
        </w:rPr>
      </w:pPr>
    </w:p>
    <w:p w:rsidR="006C1632" w:rsidRDefault="006C1632" w:rsidP="00241B1B">
      <w:pPr>
        <w:pStyle w:val="Textoindependiente"/>
        <w:widowControl w:val="0"/>
        <w:numPr>
          <w:ilvl w:val="0"/>
          <w:numId w:val="1"/>
        </w:numPr>
        <w:ind w:left="426" w:right="0"/>
        <w:rPr>
          <w:b/>
          <w:u w:val="single"/>
          <w:lang w:val="es-AR"/>
        </w:rPr>
      </w:pPr>
      <w:r w:rsidRPr="00392693">
        <w:rPr>
          <w:b/>
          <w:u w:val="single"/>
          <w:lang w:val="es-AR"/>
        </w:rPr>
        <w:t>C</w:t>
      </w:r>
      <w:r>
        <w:rPr>
          <w:b/>
          <w:u w:val="single"/>
          <w:lang w:val="es-AR"/>
        </w:rPr>
        <w:t xml:space="preserve">ondiciones para las </w:t>
      </w:r>
      <w:r w:rsidR="005C526D">
        <w:rPr>
          <w:b/>
          <w:u w:val="single"/>
          <w:lang w:val="es-AR"/>
        </w:rPr>
        <w:t>C</w:t>
      </w:r>
      <w:r>
        <w:rPr>
          <w:b/>
          <w:u w:val="single"/>
          <w:lang w:val="es-AR"/>
        </w:rPr>
        <w:t>ompensaciones de obligaciones</w:t>
      </w:r>
    </w:p>
    <w:p w:rsidR="006C1632" w:rsidRDefault="006C1632" w:rsidP="006C1632">
      <w:pPr>
        <w:pStyle w:val="Textoindependiente"/>
        <w:widowControl w:val="0"/>
        <w:tabs>
          <w:tab w:val="left" w:pos="709"/>
        </w:tabs>
        <w:ind w:left="720" w:right="0"/>
        <w:rPr>
          <w:b/>
          <w:u w:val="single"/>
          <w:lang w:val="es-AR"/>
        </w:rPr>
      </w:pPr>
    </w:p>
    <w:p w:rsidR="006C1632" w:rsidRDefault="005D3AAA" w:rsidP="005D3AAA">
      <w:pPr>
        <w:pStyle w:val="Textoindependiente"/>
        <w:widowControl w:val="0"/>
        <w:tabs>
          <w:tab w:val="left" w:pos="426"/>
        </w:tabs>
        <w:ind w:left="426" w:right="0"/>
        <w:rPr>
          <w:lang w:val="es-AR" w:eastAsia="es-AR"/>
        </w:rPr>
      </w:pPr>
      <w:r>
        <w:rPr>
          <w:lang w:val="es-AR" w:eastAsia="es-AR"/>
        </w:rPr>
        <w:t xml:space="preserve">La falta de obtención del “Certificado </w:t>
      </w:r>
      <w:proofErr w:type="spellStart"/>
      <w:r>
        <w:rPr>
          <w:lang w:val="es-AR" w:eastAsia="es-AR"/>
        </w:rPr>
        <w:t>MiPyME</w:t>
      </w:r>
      <w:proofErr w:type="spellEnd"/>
      <w:r>
        <w:rPr>
          <w:lang w:val="es-AR" w:eastAsia="es-AR"/>
        </w:rPr>
        <w:t>” al día 30 de junio de 2020 o a la fecha que la Autoridad de Aplicación determine, producirá el rechazo de pleno derecho de las solicitudes de compensación efectuadas.</w:t>
      </w:r>
    </w:p>
    <w:p w:rsidR="00B8177D" w:rsidRPr="00733BE0" w:rsidRDefault="00B8177D" w:rsidP="00D05073">
      <w:pPr>
        <w:pStyle w:val="Textoindependiente"/>
        <w:widowControl w:val="0"/>
        <w:tabs>
          <w:tab w:val="left" w:pos="426"/>
        </w:tabs>
        <w:ind w:right="0"/>
        <w:rPr>
          <w:color w:val="FF0000"/>
          <w:lang w:val="es-AR" w:eastAsia="es-AR"/>
        </w:rPr>
      </w:pPr>
    </w:p>
    <w:p w:rsidR="00B8177D" w:rsidRPr="00733BE0" w:rsidRDefault="00B8177D" w:rsidP="00B8177D">
      <w:pPr>
        <w:pStyle w:val="Textoindependiente"/>
        <w:widowControl w:val="0"/>
        <w:tabs>
          <w:tab w:val="left" w:pos="709"/>
        </w:tabs>
        <w:ind w:right="0"/>
        <w:rPr>
          <w:color w:val="FF0000"/>
          <w:lang w:val="es-AR"/>
        </w:rPr>
      </w:pPr>
    </w:p>
    <w:p w:rsidR="00B8177D" w:rsidRPr="006C1632" w:rsidRDefault="00B8177D" w:rsidP="00241B1B">
      <w:pPr>
        <w:pStyle w:val="Textoindependiente"/>
        <w:widowControl w:val="0"/>
        <w:numPr>
          <w:ilvl w:val="0"/>
          <w:numId w:val="1"/>
        </w:numPr>
        <w:ind w:left="426" w:right="0"/>
        <w:rPr>
          <w:b/>
          <w:u w:val="single"/>
          <w:lang w:val="es-AR"/>
        </w:rPr>
      </w:pPr>
      <w:r w:rsidRPr="006C1632">
        <w:rPr>
          <w:b/>
          <w:u w:val="single"/>
          <w:lang w:val="es-AR"/>
        </w:rPr>
        <w:t xml:space="preserve">Condiciones de los </w:t>
      </w:r>
      <w:r w:rsidR="00781B2F">
        <w:rPr>
          <w:b/>
          <w:u w:val="single"/>
          <w:lang w:val="es-AR"/>
        </w:rPr>
        <w:t>P</w:t>
      </w:r>
      <w:r w:rsidRPr="006C1632">
        <w:rPr>
          <w:b/>
          <w:u w:val="single"/>
          <w:lang w:val="es-AR"/>
        </w:rPr>
        <w:t xml:space="preserve">lanes de </w:t>
      </w:r>
      <w:r w:rsidR="00781B2F">
        <w:rPr>
          <w:b/>
          <w:u w:val="single"/>
          <w:lang w:val="es-AR"/>
        </w:rPr>
        <w:t>F</w:t>
      </w:r>
      <w:r w:rsidRPr="006C1632">
        <w:rPr>
          <w:b/>
          <w:u w:val="single"/>
          <w:lang w:val="es-AR"/>
        </w:rPr>
        <w:t xml:space="preserve">acilidades de </w:t>
      </w:r>
      <w:r w:rsidR="00781B2F">
        <w:rPr>
          <w:b/>
          <w:u w:val="single"/>
          <w:lang w:val="es-AR"/>
        </w:rPr>
        <w:t>P</w:t>
      </w:r>
      <w:r w:rsidRPr="006C1632">
        <w:rPr>
          <w:b/>
          <w:u w:val="single"/>
          <w:lang w:val="es-AR"/>
        </w:rPr>
        <w:t>ago</w:t>
      </w:r>
    </w:p>
    <w:p w:rsidR="002D5E3B" w:rsidRDefault="00B8177D" w:rsidP="00773AE4">
      <w:pPr>
        <w:pStyle w:val="Textoindependiente"/>
        <w:widowControl w:val="0"/>
        <w:tabs>
          <w:tab w:val="left" w:pos="9356"/>
        </w:tabs>
        <w:ind w:right="0"/>
        <w:rPr>
          <w:lang w:val="es-ES"/>
        </w:rPr>
      </w:pPr>
      <w:r w:rsidRPr="00733BE0">
        <w:rPr>
          <w:color w:val="FF0000"/>
          <w:lang w:val="es-AR"/>
        </w:rPr>
        <w:t xml:space="preserve"> </w:t>
      </w:r>
    </w:p>
    <w:p w:rsidR="004827C5" w:rsidRDefault="004827C5" w:rsidP="002D5E3B">
      <w:pPr>
        <w:pStyle w:val="Textoindependiente"/>
        <w:widowControl w:val="0"/>
        <w:tabs>
          <w:tab w:val="left" w:pos="426"/>
        </w:tabs>
        <w:ind w:left="426" w:right="0"/>
        <w:rPr>
          <w:lang w:val="es-ES"/>
        </w:rPr>
      </w:pPr>
      <w:r w:rsidRPr="002D5E3B">
        <w:rPr>
          <w:lang w:val="es-ES"/>
        </w:rPr>
        <w:t xml:space="preserve">El porcentaje del pago a cuenta, la cantidad máxima de cuotas y el mes de vencimiento de la primera de ellas, serán determinados en función del tipo de deuda, el tipo de sujeto y el mes de consolidación, de conformidad con lo que se indica </w:t>
      </w:r>
      <w:r w:rsidR="00B84ACF" w:rsidRPr="002D5E3B">
        <w:rPr>
          <w:lang w:val="es-ES"/>
        </w:rPr>
        <w:t xml:space="preserve">en el </w:t>
      </w:r>
      <w:r w:rsidR="00B84ACF" w:rsidRPr="002D5E3B">
        <w:rPr>
          <w:b/>
          <w:lang w:val="es-ES"/>
        </w:rPr>
        <w:t>Anexo I</w:t>
      </w:r>
      <w:r w:rsidR="00B84ACF" w:rsidRPr="002D5E3B">
        <w:rPr>
          <w:lang w:val="es-ES"/>
        </w:rPr>
        <w:t xml:space="preserve"> de </w:t>
      </w:r>
      <w:r w:rsidR="002D5E3B">
        <w:rPr>
          <w:lang w:val="es-ES"/>
        </w:rPr>
        <w:t>e</w:t>
      </w:r>
      <w:r w:rsidR="00B84ACF" w:rsidRPr="002D5E3B">
        <w:rPr>
          <w:lang w:val="es-ES"/>
        </w:rPr>
        <w:t>sta circular</w:t>
      </w:r>
      <w:r w:rsidR="002D5E3B" w:rsidRPr="002D5E3B">
        <w:rPr>
          <w:lang w:val="es-ES"/>
        </w:rPr>
        <w:t>.</w:t>
      </w:r>
    </w:p>
    <w:p w:rsidR="002D5E3B" w:rsidRDefault="002D5E3B" w:rsidP="002D5E3B">
      <w:pPr>
        <w:pStyle w:val="Textoindependiente"/>
        <w:widowControl w:val="0"/>
        <w:tabs>
          <w:tab w:val="left" w:pos="426"/>
        </w:tabs>
        <w:ind w:left="426" w:right="0"/>
        <w:rPr>
          <w:lang w:val="es-ES"/>
        </w:rPr>
      </w:pPr>
    </w:p>
    <w:p w:rsidR="00EA5E63" w:rsidRPr="00EA5E63" w:rsidRDefault="00EA5E63" w:rsidP="00EA5E63">
      <w:pPr>
        <w:pStyle w:val="Textoindependiente"/>
        <w:widowControl w:val="0"/>
        <w:tabs>
          <w:tab w:val="left" w:pos="426"/>
        </w:tabs>
        <w:ind w:right="0"/>
        <w:rPr>
          <w:lang w:val="es-AR" w:eastAsia="es-AR"/>
        </w:rPr>
      </w:pPr>
    </w:p>
    <w:p w:rsidR="00EA5E63" w:rsidRDefault="00EA5E63" w:rsidP="00EA5E63">
      <w:pPr>
        <w:pStyle w:val="Textoindependiente"/>
        <w:widowControl w:val="0"/>
        <w:numPr>
          <w:ilvl w:val="0"/>
          <w:numId w:val="1"/>
        </w:numPr>
        <w:ind w:left="426" w:right="0"/>
        <w:rPr>
          <w:b/>
          <w:u w:val="single"/>
          <w:lang w:val="es-AR"/>
        </w:rPr>
      </w:pPr>
      <w:r>
        <w:rPr>
          <w:b/>
          <w:u w:val="single"/>
          <w:lang w:val="es-AR"/>
        </w:rPr>
        <w:t>Ingreso de las cuotas de los planes</w:t>
      </w:r>
    </w:p>
    <w:p w:rsidR="00EA5E63" w:rsidRDefault="00EA5E63" w:rsidP="00EA5E63">
      <w:pPr>
        <w:pStyle w:val="Textoindependiente"/>
        <w:widowControl w:val="0"/>
        <w:ind w:left="426" w:right="0"/>
        <w:rPr>
          <w:b/>
          <w:u w:val="single"/>
          <w:lang w:val="es-AR"/>
        </w:rPr>
      </w:pPr>
    </w:p>
    <w:p w:rsidR="00B8177D" w:rsidRDefault="00EA5E63" w:rsidP="00EA5E63">
      <w:pPr>
        <w:pStyle w:val="Textoindependiente"/>
        <w:widowControl w:val="0"/>
        <w:ind w:left="426" w:right="0"/>
        <w:rPr>
          <w:b/>
          <w:u w:val="single"/>
          <w:lang w:val="es-AR"/>
        </w:rPr>
      </w:pPr>
      <w:r>
        <w:t xml:space="preserve">La primera cuota vencerá el </w:t>
      </w:r>
      <w:r w:rsidRPr="00773AE4">
        <w:rPr>
          <w:b/>
        </w:rPr>
        <w:t>día 16 de julio de 2020</w:t>
      </w:r>
      <w:r>
        <w:t>, y las cuotas subsiguientes vencerán el día 16 de cada mes, las que se cancelarán mediante el procedimiento de débito directo en cuenta bancaria.</w:t>
      </w:r>
    </w:p>
    <w:p w:rsidR="00EA5E63" w:rsidRPr="00EA5E63" w:rsidRDefault="00EA5E63" w:rsidP="00EA5E63">
      <w:pPr>
        <w:pStyle w:val="Textoindependiente"/>
        <w:widowControl w:val="0"/>
        <w:ind w:left="426" w:right="0"/>
        <w:rPr>
          <w:b/>
          <w:u w:val="single"/>
          <w:lang w:val="es-AR"/>
        </w:rPr>
      </w:pPr>
    </w:p>
    <w:p w:rsidR="00C24D01" w:rsidRPr="00C24D01" w:rsidRDefault="00C24D01" w:rsidP="00B8177D">
      <w:pPr>
        <w:pStyle w:val="Textoindependiente"/>
        <w:widowControl w:val="0"/>
        <w:tabs>
          <w:tab w:val="left" w:pos="9356"/>
        </w:tabs>
        <w:ind w:left="284" w:right="0"/>
        <w:rPr>
          <w:lang w:val="es-AR"/>
        </w:rPr>
      </w:pPr>
    </w:p>
    <w:p w:rsidR="00C24D01" w:rsidRPr="00C24D01" w:rsidRDefault="00C24D01" w:rsidP="00241B1B">
      <w:pPr>
        <w:pStyle w:val="Textoindependiente"/>
        <w:widowControl w:val="0"/>
        <w:numPr>
          <w:ilvl w:val="0"/>
          <w:numId w:val="1"/>
        </w:numPr>
        <w:ind w:left="426" w:right="0"/>
        <w:rPr>
          <w:b/>
          <w:u w:val="single"/>
          <w:lang w:val="es-AR"/>
        </w:rPr>
      </w:pPr>
      <w:r w:rsidRPr="00C24D01">
        <w:rPr>
          <w:b/>
          <w:u w:val="single"/>
          <w:lang w:val="es-AR"/>
        </w:rPr>
        <w:t>Ref</w:t>
      </w:r>
      <w:r w:rsidR="00BE5626">
        <w:rPr>
          <w:b/>
          <w:u w:val="single"/>
          <w:lang w:val="es-AR"/>
        </w:rPr>
        <w:t>inanciación</w:t>
      </w:r>
      <w:r w:rsidRPr="00C24D01">
        <w:rPr>
          <w:b/>
          <w:u w:val="single"/>
          <w:lang w:val="es-AR"/>
        </w:rPr>
        <w:t xml:space="preserve"> de Planes Vigentes</w:t>
      </w:r>
    </w:p>
    <w:p w:rsidR="00C24D01" w:rsidRPr="00C24D01" w:rsidRDefault="00C24D01" w:rsidP="00C24D01">
      <w:pPr>
        <w:pStyle w:val="Textoindependiente"/>
        <w:widowControl w:val="0"/>
        <w:tabs>
          <w:tab w:val="left" w:pos="709"/>
        </w:tabs>
        <w:ind w:right="0"/>
        <w:rPr>
          <w:b/>
          <w:u w:val="single"/>
          <w:lang w:val="es-AR"/>
        </w:rPr>
      </w:pPr>
    </w:p>
    <w:p w:rsidR="001954B5" w:rsidRDefault="001954B5" w:rsidP="00C24D01">
      <w:pPr>
        <w:pStyle w:val="Textoindependiente"/>
        <w:widowControl w:val="0"/>
        <w:tabs>
          <w:tab w:val="left" w:pos="426"/>
        </w:tabs>
        <w:ind w:left="426" w:right="0"/>
        <w:rPr>
          <w:lang w:val="es-AR"/>
        </w:rPr>
      </w:pPr>
      <w:r>
        <w:rPr>
          <w:lang w:val="es-AR"/>
        </w:rPr>
        <w:t>Se efectuará por cada plan, a través del sistema informático “MIS FACILIDADES” accediendo a la opción “Refinanciación de planes vigentes”, la que se encontrara disponible desde el día 17 de febrero de 2020 hasta el día 30 de junio de 2020, ambos inclusive.</w:t>
      </w:r>
    </w:p>
    <w:p w:rsidR="001954B5" w:rsidRDefault="001954B5" w:rsidP="00C24D01">
      <w:pPr>
        <w:pStyle w:val="Textoindependiente"/>
        <w:widowControl w:val="0"/>
        <w:tabs>
          <w:tab w:val="left" w:pos="426"/>
        </w:tabs>
        <w:ind w:left="426" w:right="0"/>
        <w:rPr>
          <w:lang w:val="es-AR"/>
        </w:rPr>
      </w:pPr>
    </w:p>
    <w:p w:rsidR="001954B5" w:rsidRDefault="001954B5" w:rsidP="001954B5">
      <w:pPr>
        <w:pStyle w:val="Textoindependiente"/>
        <w:widowControl w:val="0"/>
        <w:tabs>
          <w:tab w:val="left" w:pos="426"/>
        </w:tabs>
        <w:ind w:left="426" w:right="0"/>
        <w:rPr>
          <w:lang w:val="es-ES"/>
        </w:rPr>
      </w:pPr>
      <w:r>
        <w:rPr>
          <w:lang w:val="es-AR"/>
        </w:rPr>
        <w:t xml:space="preserve">En caso de optar por la refinanciación a través de planes de facilidades de pago, el pago a cuenta – de corresponder- , la cantidad máxima de </w:t>
      </w:r>
      <w:r>
        <w:t xml:space="preserve">cuotas y el mes de vencimiento de la primera cuota del plan, serán los que -según el tipo de sujeto y la fecha en que se efectúe la refinanciación- se indica en </w:t>
      </w:r>
      <w:r w:rsidRPr="002D5E3B">
        <w:rPr>
          <w:lang w:val="es-ES"/>
        </w:rPr>
        <w:t xml:space="preserve">el </w:t>
      </w:r>
      <w:r w:rsidRPr="002D5E3B">
        <w:rPr>
          <w:b/>
          <w:lang w:val="es-ES"/>
        </w:rPr>
        <w:t xml:space="preserve">Anexo </w:t>
      </w:r>
      <w:r>
        <w:rPr>
          <w:b/>
          <w:lang w:val="es-ES"/>
        </w:rPr>
        <w:t>I</w:t>
      </w:r>
      <w:r w:rsidRPr="002D5E3B">
        <w:rPr>
          <w:b/>
          <w:lang w:val="es-ES"/>
        </w:rPr>
        <w:t>I</w:t>
      </w:r>
      <w:r w:rsidRPr="002D5E3B">
        <w:rPr>
          <w:lang w:val="es-ES"/>
        </w:rPr>
        <w:t xml:space="preserve"> de </w:t>
      </w:r>
      <w:r>
        <w:rPr>
          <w:lang w:val="es-ES"/>
        </w:rPr>
        <w:t>e</w:t>
      </w:r>
      <w:r w:rsidRPr="002D5E3B">
        <w:rPr>
          <w:lang w:val="es-ES"/>
        </w:rPr>
        <w:t>sta circular</w:t>
      </w:r>
      <w:r>
        <w:rPr>
          <w:lang w:val="es-ES"/>
        </w:rPr>
        <w:t>.</w:t>
      </w:r>
    </w:p>
    <w:p w:rsidR="001954B5" w:rsidRDefault="001954B5" w:rsidP="001954B5">
      <w:pPr>
        <w:pStyle w:val="Textoindependiente"/>
        <w:widowControl w:val="0"/>
        <w:tabs>
          <w:tab w:val="left" w:pos="426"/>
        </w:tabs>
        <w:ind w:left="426" w:right="0"/>
      </w:pPr>
    </w:p>
    <w:p w:rsidR="00795D62" w:rsidRDefault="00795D62" w:rsidP="00A34003">
      <w:pPr>
        <w:pStyle w:val="Textoindependiente"/>
        <w:widowControl w:val="0"/>
        <w:tabs>
          <w:tab w:val="left" w:pos="284"/>
        </w:tabs>
        <w:ind w:left="426" w:right="0"/>
        <w:rPr>
          <w:lang w:val="es-AR"/>
        </w:rPr>
      </w:pPr>
    </w:p>
    <w:p w:rsidR="00795D62" w:rsidRDefault="00795D62" w:rsidP="00241B1B">
      <w:pPr>
        <w:pStyle w:val="Textoindependiente"/>
        <w:widowControl w:val="0"/>
        <w:numPr>
          <w:ilvl w:val="0"/>
          <w:numId w:val="1"/>
        </w:numPr>
        <w:ind w:left="426" w:right="0"/>
        <w:rPr>
          <w:b/>
          <w:u w:val="single"/>
          <w:lang w:val="es-AR"/>
        </w:rPr>
      </w:pPr>
      <w:r w:rsidRPr="00795D62">
        <w:rPr>
          <w:b/>
          <w:u w:val="single"/>
          <w:lang w:val="es-AR"/>
        </w:rPr>
        <w:t xml:space="preserve">Deudores en concurso preventivo </w:t>
      </w:r>
    </w:p>
    <w:p w:rsidR="00795D62" w:rsidRPr="00795D62" w:rsidRDefault="00795D62" w:rsidP="00795D62">
      <w:pPr>
        <w:pStyle w:val="Textoindependiente"/>
        <w:widowControl w:val="0"/>
        <w:tabs>
          <w:tab w:val="left" w:pos="709"/>
        </w:tabs>
        <w:ind w:left="720" w:right="0"/>
        <w:rPr>
          <w:b/>
          <w:u w:val="single"/>
          <w:lang w:val="es-AR"/>
        </w:rPr>
      </w:pPr>
    </w:p>
    <w:p w:rsidR="00795D62" w:rsidRPr="00795D62" w:rsidRDefault="00795D62" w:rsidP="00795D62">
      <w:pPr>
        <w:pStyle w:val="Textoindependiente"/>
        <w:widowControl w:val="0"/>
        <w:tabs>
          <w:tab w:val="left" w:pos="426"/>
        </w:tabs>
        <w:ind w:left="426" w:right="0"/>
        <w:rPr>
          <w:lang w:val="es-AR"/>
        </w:rPr>
      </w:pPr>
      <w:r w:rsidRPr="00795D62">
        <w:rPr>
          <w:lang w:val="es-AR"/>
        </w:rPr>
        <w:t>Los sujetos con concurso preventivo en trámite podrán adherir al presente régimen en tanto se cumplan determinadas condiciones:</w:t>
      </w:r>
    </w:p>
    <w:p w:rsidR="00795D62" w:rsidRPr="00795D62" w:rsidRDefault="00795D62" w:rsidP="00795D62">
      <w:pPr>
        <w:pStyle w:val="Textoindependiente"/>
        <w:widowControl w:val="0"/>
        <w:tabs>
          <w:tab w:val="left" w:pos="709"/>
        </w:tabs>
        <w:ind w:right="0"/>
        <w:rPr>
          <w:lang w:val="es-AR"/>
        </w:rPr>
      </w:pPr>
    </w:p>
    <w:p w:rsidR="00795D62" w:rsidRPr="00795D62" w:rsidRDefault="00795D62" w:rsidP="00B84ACF">
      <w:pPr>
        <w:pStyle w:val="Textoindependiente"/>
        <w:widowControl w:val="0"/>
        <w:numPr>
          <w:ilvl w:val="0"/>
          <w:numId w:val="8"/>
        </w:numPr>
        <w:tabs>
          <w:tab w:val="left" w:pos="709"/>
        </w:tabs>
        <w:ind w:right="0"/>
        <w:rPr>
          <w:lang w:val="es-AR"/>
        </w:rPr>
      </w:pPr>
      <w:r w:rsidRPr="00795D62">
        <w:rPr>
          <w:lang w:val="es-AR"/>
        </w:rPr>
        <w:t xml:space="preserve">Haber solicitado el concurso preventivo hasta el </w:t>
      </w:r>
      <w:r>
        <w:rPr>
          <w:lang w:val="es-AR"/>
        </w:rPr>
        <w:t xml:space="preserve">30 de </w:t>
      </w:r>
      <w:r w:rsidR="00F40A02">
        <w:rPr>
          <w:lang w:val="es-AR"/>
        </w:rPr>
        <w:t xml:space="preserve">junio </w:t>
      </w:r>
      <w:r>
        <w:rPr>
          <w:lang w:val="es-AR"/>
        </w:rPr>
        <w:t>de 2020, inclusive.</w:t>
      </w:r>
    </w:p>
    <w:p w:rsidR="00795D62" w:rsidRPr="00795D62" w:rsidRDefault="00795D62" w:rsidP="00795D62">
      <w:pPr>
        <w:pStyle w:val="Textoindependiente"/>
        <w:widowControl w:val="0"/>
        <w:tabs>
          <w:tab w:val="left" w:pos="709"/>
        </w:tabs>
        <w:ind w:right="0"/>
        <w:rPr>
          <w:lang w:val="es-AR"/>
        </w:rPr>
      </w:pPr>
    </w:p>
    <w:p w:rsidR="00795D62" w:rsidRPr="00795D62" w:rsidRDefault="00795D62" w:rsidP="00B84ACF">
      <w:pPr>
        <w:pStyle w:val="Textoindependiente"/>
        <w:widowControl w:val="0"/>
        <w:numPr>
          <w:ilvl w:val="0"/>
          <w:numId w:val="8"/>
        </w:numPr>
        <w:tabs>
          <w:tab w:val="left" w:pos="709"/>
        </w:tabs>
        <w:ind w:right="0"/>
        <w:rPr>
          <w:lang w:val="es-AR"/>
        </w:rPr>
      </w:pPr>
      <w:r w:rsidRPr="00795D62">
        <w:rPr>
          <w:lang w:val="es-AR"/>
        </w:rPr>
        <w:t>Formalizar la adhesión, en la oportunidad que en cada caso se indica a continuación:</w:t>
      </w:r>
    </w:p>
    <w:p w:rsidR="00795D62" w:rsidRPr="00795D62" w:rsidRDefault="00795D62" w:rsidP="00795D62">
      <w:pPr>
        <w:pStyle w:val="Textoindependiente"/>
        <w:widowControl w:val="0"/>
        <w:tabs>
          <w:tab w:val="left" w:pos="709"/>
        </w:tabs>
        <w:ind w:left="717" w:right="0"/>
        <w:rPr>
          <w:lang w:val="es-AR"/>
        </w:rPr>
      </w:pPr>
    </w:p>
    <w:p w:rsidR="00795D62" w:rsidRDefault="00795D62" w:rsidP="00B84ACF">
      <w:pPr>
        <w:pStyle w:val="Textoindependiente"/>
        <w:widowControl w:val="0"/>
        <w:numPr>
          <w:ilvl w:val="0"/>
          <w:numId w:val="3"/>
        </w:numPr>
        <w:tabs>
          <w:tab w:val="left" w:pos="709"/>
        </w:tabs>
        <w:ind w:right="0"/>
        <w:rPr>
          <w:lang w:val="es-AR"/>
        </w:rPr>
      </w:pPr>
      <w:r w:rsidRPr="00795D62">
        <w:rPr>
          <w:lang w:val="es-AR"/>
        </w:rPr>
        <w:t>Resolución judicial homologatoria del Acuerdo preventivo</w:t>
      </w:r>
      <w:r w:rsidR="00F40A02">
        <w:rPr>
          <w:lang w:val="es-AR"/>
        </w:rPr>
        <w:t>,</w:t>
      </w:r>
      <w:r w:rsidRPr="00795D62">
        <w:rPr>
          <w:lang w:val="es-AR"/>
        </w:rPr>
        <w:t xml:space="preserve"> no</w:t>
      </w:r>
      <w:r>
        <w:rPr>
          <w:lang w:val="es-AR"/>
        </w:rPr>
        <w:t xml:space="preserve">tificada al concurso hasta el </w:t>
      </w:r>
      <w:r w:rsidR="00F40A02">
        <w:rPr>
          <w:lang w:val="es-AR"/>
        </w:rPr>
        <w:t>29 de may</w:t>
      </w:r>
      <w:r w:rsidR="00A60890">
        <w:rPr>
          <w:lang w:val="es-AR"/>
        </w:rPr>
        <w:t>o de 2020</w:t>
      </w:r>
      <w:r w:rsidR="00F40A02">
        <w:rPr>
          <w:lang w:val="es-AR"/>
        </w:rPr>
        <w:t>, inclusive</w:t>
      </w:r>
      <w:r w:rsidRPr="00795D62">
        <w:rPr>
          <w:lang w:val="es-AR"/>
        </w:rPr>
        <w:t xml:space="preserve"> hasta el día de vencimiento </w:t>
      </w:r>
      <w:r w:rsidR="00A60890">
        <w:rPr>
          <w:lang w:val="es-AR"/>
        </w:rPr>
        <w:t xml:space="preserve">del plazo </w:t>
      </w:r>
      <w:r w:rsidRPr="00795D62">
        <w:rPr>
          <w:lang w:val="es-AR"/>
        </w:rPr>
        <w:t>general</w:t>
      </w:r>
      <w:r w:rsidR="00A60890">
        <w:rPr>
          <w:lang w:val="es-AR"/>
        </w:rPr>
        <w:t xml:space="preserve"> de adhesión.</w:t>
      </w:r>
    </w:p>
    <w:p w:rsidR="00A60890" w:rsidRPr="00795D62" w:rsidRDefault="00A60890" w:rsidP="00A60890">
      <w:pPr>
        <w:pStyle w:val="Textoindependiente"/>
        <w:widowControl w:val="0"/>
        <w:tabs>
          <w:tab w:val="left" w:pos="709"/>
        </w:tabs>
        <w:ind w:left="786" w:right="0"/>
        <w:rPr>
          <w:lang w:val="es-AR"/>
        </w:rPr>
      </w:pPr>
    </w:p>
    <w:p w:rsidR="00795D62" w:rsidRDefault="00795D62" w:rsidP="00B84ACF">
      <w:pPr>
        <w:pStyle w:val="Textoindependiente"/>
        <w:widowControl w:val="0"/>
        <w:numPr>
          <w:ilvl w:val="0"/>
          <w:numId w:val="3"/>
        </w:numPr>
        <w:tabs>
          <w:tab w:val="left" w:pos="709"/>
        </w:tabs>
        <w:ind w:right="0"/>
        <w:rPr>
          <w:lang w:val="es-AR"/>
        </w:rPr>
      </w:pPr>
      <w:r w:rsidRPr="00795D62">
        <w:rPr>
          <w:lang w:val="es-AR"/>
        </w:rPr>
        <w:t>Resolución judicial homologatoria del Acuerdo preventivo</w:t>
      </w:r>
      <w:r w:rsidR="00F40A02">
        <w:rPr>
          <w:lang w:val="es-AR"/>
        </w:rPr>
        <w:t>,</w:t>
      </w:r>
      <w:r w:rsidRPr="00795D62">
        <w:rPr>
          <w:lang w:val="es-AR"/>
        </w:rPr>
        <w:t xml:space="preserve"> notificada </w:t>
      </w:r>
      <w:r w:rsidR="00F40A02">
        <w:rPr>
          <w:lang w:val="es-AR"/>
        </w:rPr>
        <w:t>con posterioridad al 29 de mayo de 2020 y/o pendiente de dictado al 30 de junio de 2020: dentro de los treinta (30) días corridos inmediatos siguientes a aquel en que se produzca la respectiva notificación.</w:t>
      </w:r>
    </w:p>
    <w:p w:rsidR="00BA6482" w:rsidRDefault="00BA6482" w:rsidP="00BA6482">
      <w:pPr>
        <w:pStyle w:val="Textoindependiente"/>
        <w:widowControl w:val="0"/>
        <w:tabs>
          <w:tab w:val="left" w:pos="709"/>
        </w:tabs>
        <w:ind w:right="0"/>
        <w:rPr>
          <w:lang w:val="es-AR"/>
        </w:rPr>
      </w:pPr>
    </w:p>
    <w:p w:rsidR="00A60890" w:rsidRDefault="00A60890" w:rsidP="00795D62">
      <w:pPr>
        <w:pStyle w:val="Textoindependiente"/>
        <w:widowControl w:val="0"/>
        <w:tabs>
          <w:tab w:val="left" w:pos="426"/>
        </w:tabs>
        <w:ind w:left="426" w:right="0"/>
        <w:rPr>
          <w:lang w:val="es-AR"/>
        </w:rPr>
      </w:pPr>
    </w:p>
    <w:p w:rsidR="00B8177D" w:rsidRPr="00B84ACF" w:rsidRDefault="00B8177D" w:rsidP="00B8177D">
      <w:pPr>
        <w:pStyle w:val="Textoindependiente"/>
        <w:widowControl w:val="0"/>
        <w:tabs>
          <w:tab w:val="left" w:pos="9356"/>
        </w:tabs>
        <w:ind w:right="0"/>
        <w:rPr>
          <w:lang w:val="es-AR"/>
        </w:rPr>
      </w:pPr>
    </w:p>
    <w:p w:rsidR="00B8177D" w:rsidRPr="00241B1B" w:rsidRDefault="00B8177D" w:rsidP="00241B1B">
      <w:pPr>
        <w:pStyle w:val="Textoindependiente"/>
        <w:widowControl w:val="0"/>
        <w:numPr>
          <w:ilvl w:val="0"/>
          <w:numId w:val="1"/>
        </w:numPr>
        <w:ind w:left="426" w:right="0"/>
        <w:rPr>
          <w:b/>
          <w:u w:val="single"/>
          <w:lang w:val="es-AR"/>
        </w:rPr>
      </w:pPr>
      <w:r w:rsidRPr="00241B1B">
        <w:rPr>
          <w:b/>
          <w:u w:val="single"/>
          <w:lang w:val="es-AR"/>
        </w:rPr>
        <w:t>Vigencia</w:t>
      </w:r>
    </w:p>
    <w:p w:rsidR="007B68EC" w:rsidRPr="00B84ACF" w:rsidRDefault="007B68EC" w:rsidP="007B68EC">
      <w:pPr>
        <w:pStyle w:val="Textoindependiente"/>
        <w:tabs>
          <w:tab w:val="left" w:pos="709"/>
        </w:tabs>
        <w:ind w:left="1416" w:right="0" w:hanging="696"/>
        <w:rPr>
          <w:b/>
          <w:u w:val="single"/>
        </w:rPr>
      </w:pPr>
    </w:p>
    <w:p w:rsidR="00B8177D" w:rsidRPr="00B84ACF" w:rsidRDefault="00B8177D" w:rsidP="00B8177D">
      <w:pPr>
        <w:pStyle w:val="Textoindependiente"/>
        <w:tabs>
          <w:tab w:val="left" w:pos="9356"/>
        </w:tabs>
        <w:ind w:right="0"/>
      </w:pPr>
    </w:p>
    <w:p w:rsidR="00B84ACF" w:rsidRDefault="00B8177D" w:rsidP="00B84ACF">
      <w:pPr>
        <w:pStyle w:val="Textoindependiente"/>
        <w:widowControl w:val="0"/>
        <w:tabs>
          <w:tab w:val="left" w:pos="9781"/>
        </w:tabs>
        <w:ind w:left="426" w:right="0"/>
        <w:rPr>
          <w:lang w:val="es-AR"/>
        </w:rPr>
      </w:pPr>
      <w:r w:rsidRPr="00B84ACF">
        <w:rPr>
          <w:lang w:val="es-AR"/>
        </w:rPr>
        <w:t>La</w:t>
      </w:r>
      <w:r w:rsidR="00C17521">
        <w:rPr>
          <w:lang w:val="es-AR"/>
        </w:rPr>
        <w:t>s</w:t>
      </w:r>
      <w:r w:rsidR="00B84ACF">
        <w:rPr>
          <w:lang w:val="es-AR"/>
        </w:rPr>
        <w:t xml:space="preserve"> </w:t>
      </w:r>
      <w:r w:rsidR="00C17521">
        <w:rPr>
          <w:lang w:val="es-AR"/>
        </w:rPr>
        <w:t xml:space="preserve">modificaciones entrarán en </w:t>
      </w:r>
      <w:r w:rsidR="00B84ACF">
        <w:rPr>
          <w:lang w:val="es-AR"/>
        </w:rPr>
        <w:t xml:space="preserve">vigencia </w:t>
      </w:r>
      <w:r w:rsidR="00C17521">
        <w:rPr>
          <w:lang w:val="es-AR"/>
        </w:rPr>
        <w:t>a partir del 01</w:t>
      </w:r>
      <w:r w:rsidR="00FD60B1">
        <w:rPr>
          <w:lang w:val="es-AR"/>
        </w:rPr>
        <w:t xml:space="preserve"> de</w:t>
      </w:r>
      <w:r w:rsidR="00C17521">
        <w:rPr>
          <w:lang w:val="es-AR"/>
        </w:rPr>
        <w:t xml:space="preserve"> Abril</w:t>
      </w:r>
      <w:r w:rsidR="00FD60B1">
        <w:rPr>
          <w:lang w:val="es-AR"/>
        </w:rPr>
        <w:t xml:space="preserve"> de 20</w:t>
      </w:r>
      <w:r w:rsidR="00C17521">
        <w:rPr>
          <w:lang w:val="es-AR"/>
        </w:rPr>
        <w:t>20</w:t>
      </w:r>
      <w:r w:rsidR="00B84ACF">
        <w:rPr>
          <w:lang w:val="es-AR"/>
        </w:rPr>
        <w:t>.</w:t>
      </w:r>
    </w:p>
    <w:p w:rsidR="00B84ACF" w:rsidRDefault="00B84ACF" w:rsidP="00B84ACF">
      <w:pPr>
        <w:pStyle w:val="Textoindependiente"/>
        <w:widowControl w:val="0"/>
        <w:tabs>
          <w:tab w:val="left" w:pos="9781"/>
        </w:tabs>
        <w:ind w:left="426" w:right="0"/>
        <w:rPr>
          <w:lang w:val="es-AR"/>
        </w:rPr>
      </w:pPr>
    </w:p>
    <w:p w:rsidR="00320569" w:rsidRPr="00733BE0" w:rsidRDefault="00320569" w:rsidP="001B0D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632472" w:rsidRDefault="00561543" w:rsidP="00B84ACF">
      <w:pPr>
        <w:pStyle w:val="Textoindependiente"/>
        <w:widowControl w:val="0"/>
        <w:tabs>
          <w:tab w:val="left" w:pos="9781"/>
        </w:tabs>
        <w:ind w:left="426" w:right="23"/>
        <w:rPr>
          <w:color w:val="FF0000"/>
        </w:rPr>
      </w:pPr>
      <w:r w:rsidRPr="00733BE0">
        <w:rPr>
          <w:color w:val="FF0000"/>
        </w:rPr>
        <w:t xml:space="preserve"> </w:t>
      </w:r>
    </w:p>
    <w:p w:rsidR="00C17521" w:rsidRPr="00B84ACF" w:rsidRDefault="00C17521" w:rsidP="00B84ACF">
      <w:pPr>
        <w:pStyle w:val="Textoindependiente"/>
        <w:widowControl w:val="0"/>
        <w:tabs>
          <w:tab w:val="left" w:pos="9781"/>
        </w:tabs>
        <w:ind w:left="426" w:right="23"/>
        <w:rPr>
          <w:lang w:val="es-AR"/>
        </w:rPr>
      </w:pPr>
    </w:p>
    <w:p w:rsidR="00632472" w:rsidRPr="00B84ACF" w:rsidRDefault="00B84ACF" w:rsidP="00B84ACF">
      <w:pPr>
        <w:pStyle w:val="Textoindependiente"/>
        <w:widowControl w:val="0"/>
        <w:tabs>
          <w:tab w:val="left" w:pos="9781"/>
        </w:tabs>
        <w:ind w:left="426" w:right="23"/>
        <w:rPr>
          <w:lang w:val="es-AR"/>
        </w:rPr>
      </w:pPr>
      <w:r>
        <w:rPr>
          <w:lang w:val="es-AR"/>
        </w:rPr>
        <w:t xml:space="preserve">Ciudad de Buenos Aires, </w:t>
      </w:r>
      <w:r w:rsidR="00C17521">
        <w:rPr>
          <w:lang w:val="es-AR"/>
        </w:rPr>
        <w:t>2</w:t>
      </w:r>
      <w:r w:rsidR="006860D0">
        <w:rPr>
          <w:lang w:val="es-AR"/>
        </w:rPr>
        <w:t xml:space="preserve"> de </w:t>
      </w:r>
      <w:r w:rsidR="009C4AEC">
        <w:rPr>
          <w:lang w:val="es-AR"/>
        </w:rPr>
        <w:t xml:space="preserve">abril </w:t>
      </w:r>
      <w:r w:rsidR="006860D0">
        <w:rPr>
          <w:lang w:val="es-AR"/>
        </w:rPr>
        <w:t>de 2020</w:t>
      </w:r>
      <w:r w:rsidR="00561543" w:rsidRPr="00B84ACF">
        <w:rPr>
          <w:lang w:val="es-AR"/>
        </w:rPr>
        <w:t>.</w:t>
      </w:r>
    </w:p>
    <w:p w:rsidR="00561543" w:rsidRPr="00B84ACF" w:rsidRDefault="00561543" w:rsidP="00B84ACF">
      <w:pPr>
        <w:pStyle w:val="Textoindependiente"/>
        <w:widowControl w:val="0"/>
        <w:tabs>
          <w:tab w:val="left" w:pos="9781"/>
        </w:tabs>
        <w:ind w:left="426" w:right="23"/>
        <w:rPr>
          <w:lang w:val="es-AR"/>
        </w:rPr>
      </w:pPr>
    </w:p>
    <w:p w:rsidR="00112503" w:rsidRDefault="00112503" w:rsidP="00FD1CD6">
      <w:pPr>
        <w:spacing w:before="240" w:after="100" w:line="240" w:lineRule="auto"/>
        <w:ind w:left="10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anexo3"/>
      <w:bookmarkEnd w:id="0"/>
    </w:p>
    <w:p w:rsidR="00112503" w:rsidRDefault="00112503" w:rsidP="00FD1CD6">
      <w:pPr>
        <w:spacing w:before="240" w:after="100" w:line="240" w:lineRule="auto"/>
        <w:ind w:left="10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12503" w:rsidRDefault="00112503" w:rsidP="00FD1CD6">
      <w:pPr>
        <w:spacing w:before="240" w:after="100" w:line="240" w:lineRule="auto"/>
        <w:ind w:left="10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12503" w:rsidRDefault="00112503" w:rsidP="00FD1CD6">
      <w:pPr>
        <w:spacing w:before="240" w:after="100" w:line="240" w:lineRule="auto"/>
        <w:ind w:left="10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12503" w:rsidRDefault="00112503" w:rsidP="00FD1CD6">
      <w:pPr>
        <w:spacing w:before="240" w:after="100" w:line="240" w:lineRule="auto"/>
        <w:ind w:left="10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12503" w:rsidRDefault="00112503" w:rsidP="00FD1CD6">
      <w:pPr>
        <w:spacing w:before="240" w:after="100" w:line="240" w:lineRule="auto"/>
        <w:ind w:left="10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12503" w:rsidRDefault="00112503" w:rsidP="00FD1CD6">
      <w:pPr>
        <w:spacing w:before="240" w:after="100" w:line="240" w:lineRule="auto"/>
        <w:ind w:left="10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12503" w:rsidRDefault="00112503" w:rsidP="00FD1CD6">
      <w:pPr>
        <w:spacing w:before="240" w:after="100" w:line="240" w:lineRule="auto"/>
        <w:ind w:left="10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17521" w:rsidRDefault="00C17521" w:rsidP="00FD1CD6">
      <w:pPr>
        <w:spacing w:before="240" w:after="100" w:line="240" w:lineRule="auto"/>
        <w:ind w:left="10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17521" w:rsidRDefault="00C17521" w:rsidP="00FD1CD6">
      <w:pPr>
        <w:spacing w:before="240" w:after="100" w:line="240" w:lineRule="auto"/>
        <w:ind w:left="10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17521" w:rsidRDefault="00C17521" w:rsidP="00FD1CD6">
      <w:pPr>
        <w:spacing w:before="240" w:after="100" w:line="240" w:lineRule="auto"/>
        <w:ind w:left="10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17521" w:rsidRDefault="00C17521" w:rsidP="00FD1CD6">
      <w:pPr>
        <w:spacing w:before="240" w:after="100" w:line="240" w:lineRule="auto"/>
        <w:ind w:left="10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_GoBack"/>
      <w:bookmarkEnd w:id="1"/>
    </w:p>
    <w:p w:rsidR="00112503" w:rsidRDefault="00112503" w:rsidP="00FD1CD6">
      <w:pPr>
        <w:spacing w:before="240" w:after="100" w:line="240" w:lineRule="auto"/>
        <w:ind w:left="10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61543" w:rsidRPr="00B84ACF" w:rsidRDefault="00561543" w:rsidP="00FD1CD6">
      <w:pPr>
        <w:spacing w:before="240" w:after="100" w:line="240" w:lineRule="auto"/>
        <w:ind w:left="10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4AC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ANEXO I</w:t>
      </w:r>
    </w:p>
    <w:p w:rsidR="00561543" w:rsidRPr="00B84ACF" w:rsidRDefault="00561543" w:rsidP="00FD1CD6">
      <w:pPr>
        <w:spacing w:before="240" w:after="100" w:line="240" w:lineRule="auto"/>
        <w:ind w:left="10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4ACF">
        <w:rPr>
          <w:rFonts w:ascii="Times New Roman" w:eastAsia="Times New Roman" w:hAnsi="Times New Roman" w:cs="Times New Roman"/>
          <w:b/>
          <w:bCs/>
          <w:sz w:val="24"/>
          <w:szCs w:val="24"/>
        </w:rPr>
        <w:t>CONDICIONES DEL PLAN DE FACILIDADES DE PAGO</w:t>
      </w:r>
    </w:p>
    <w:p w:rsidR="00DC276B" w:rsidRDefault="00DC276B" w:rsidP="00FD1CD6">
      <w:pPr>
        <w:spacing w:after="0" w:line="240" w:lineRule="auto"/>
        <w:ind w:right="1043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DC276B" w:rsidRDefault="00DC276B" w:rsidP="009D0F82">
      <w:pPr>
        <w:spacing w:after="0" w:line="240" w:lineRule="auto"/>
        <w:ind w:right="1043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B84ACF" w:rsidRDefault="005A132C" w:rsidP="009D0F82">
      <w:pPr>
        <w:spacing w:after="0" w:line="240" w:lineRule="auto"/>
        <w:ind w:right="1043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noProof/>
          <w:color w:val="FF0000"/>
          <w:sz w:val="24"/>
        </w:rPr>
        <w:drawing>
          <wp:inline distT="0" distB="0" distL="0" distR="0">
            <wp:extent cx="6404614" cy="51530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4452" cy="5193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76B" w:rsidRDefault="00DC276B" w:rsidP="009D0F82">
      <w:pPr>
        <w:spacing w:after="0" w:line="240" w:lineRule="auto"/>
        <w:ind w:right="1043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DC276B" w:rsidRDefault="00DC276B" w:rsidP="00DC276B">
      <w:pPr>
        <w:spacing w:after="0" w:line="240" w:lineRule="auto"/>
        <w:ind w:right="104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27E8" w:rsidRDefault="004027E8" w:rsidP="00DC276B">
      <w:pPr>
        <w:spacing w:after="0" w:line="240" w:lineRule="auto"/>
        <w:ind w:right="104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AEC" w:rsidRDefault="009C4AEC" w:rsidP="00FD1C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AEC" w:rsidRDefault="009C4AEC" w:rsidP="00FD1C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AEC" w:rsidRDefault="009C4AEC" w:rsidP="00FD1C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AEC" w:rsidRDefault="009C4AEC" w:rsidP="00FD1C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AEC" w:rsidRDefault="009C4AEC" w:rsidP="00FD1C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AEC" w:rsidRDefault="009C4AEC" w:rsidP="00FD1C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26BA" w:rsidRDefault="004726BA" w:rsidP="00FD1C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276B" w:rsidRDefault="00DC276B" w:rsidP="00FD1C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4AC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ANEXO 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</w:p>
    <w:p w:rsidR="00DC276B" w:rsidRDefault="00DC276B" w:rsidP="00FD1CD6">
      <w:pPr>
        <w:spacing w:after="0" w:line="240" w:lineRule="auto"/>
        <w:ind w:right="1043"/>
        <w:jc w:val="center"/>
        <w:rPr>
          <w:rFonts w:ascii="Times New Roman" w:eastAsia="Times New Roman" w:hAnsi="Times New Roman" w:cs="Times New Roman"/>
          <w:color w:val="FF0000"/>
          <w:sz w:val="24"/>
        </w:rPr>
      </w:pPr>
    </w:p>
    <w:p w:rsidR="00DC276B" w:rsidRDefault="00DC276B" w:rsidP="00FD1C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C276B">
        <w:rPr>
          <w:rFonts w:ascii="Times New Roman" w:eastAsia="Times New Roman" w:hAnsi="Times New Roman" w:cs="Times New Roman"/>
          <w:b/>
          <w:bCs/>
          <w:sz w:val="24"/>
          <w:szCs w:val="24"/>
        </w:rPr>
        <w:t>REFINANCIACIÓN DE PLANES DE FACILIDADES DE PAGO VIGENTES</w:t>
      </w:r>
    </w:p>
    <w:p w:rsidR="00DC276B" w:rsidRDefault="00DC276B" w:rsidP="00FD1CD6">
      <w:pPr>
        <w:spacing w:after="0" w:line="240" w:lineRule="auto"/>
        <w:ind w:right="104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276B" w:rsidRDefault="00DC276B" w:rsidP="00DC276B">
      <w:pPr>
        <w:spacing w:after="0" w:line="240" w:lineRule="auto"/>
        <w:ind w:right="104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7FD0" w:rsidRPr="00CD7FD0" w:rsidRDefault="00CD7FD0" w:rsidP="00CD7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DC276B" w:rsidRPr="00DC276B" w:rsidRDefault="009C4AEC" w:rsidP="00DC276B">
      <w:pPr>
        <w:spacing w:after="0" w:line="240" w:lineRule="auto"/>
        <w:ind w:right="104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219825" cy="286702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276B" w:rsidRPr="00DC276B" w:rsidSect="00241B1B">
      <w:headerReference w:type="default" r:id="rId11"/>
      <w:pgSz w:w="12240" w:h="15840"/>
      <w:pgMar w:top="1418" w:right="104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C2F" w:rsidRDefault="00DC7C2F" w:rsidP="006B4439">
      <w:pPr>
        <w:spacing w:after="0" w:line="240" w:lineRule="auto"/>
      </w:pPr>
      <w:r>
        <w:separator/>
      </w:r>
    </w:p>
  </w:endnote>
  <w:endnote w:type="continuationSeparator" w:id="0">
    <w:p w:rsidR="00DC7C2F" w:rsidRDefault="00DC7C2F" w:rsidP="006B4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C2F" w:rsidRDefault="00DC7C2F" w:rsidP="006B4439">
      <w:pPr>
        <w:spacing w:after="0" w:line="240" w:lineRule="auto"/>
      </w:pPr>
      <w:r>
        <w:separator/>
      </w:r>
    </w:p>
  </w:footnote>
  <w:footnote w:type="continuationSeparator" w:id="0">
    <w:p w:rsidR="00DC7C2F" w:rsidRDefault="00DC7C2F" w:rsidP="006B4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9C5" w:rsidRPr="006B4439" w:rsidRDefault="002B69C5" w:rsidP="006B4439">
    <w:pPr>
      <w:pStyle w:val="Encabezado"/>
      <w:pBdr>
        <w:bottom w:val="single" w:sz="12" w:space="1" w:color="000080"/>
      </w:pBdr>
      <w:jc w:val="right"/>
      <w:rPr>
        <w:rFonts w:ascii="Times New Roman" w:eastAsia="Times New Roman" w:hAnsi="Times New Roman" w:cs="Times New Roman"/>
        <w:b/>
        <w:color w:val="000080"/>
        <w:sz w:val="24"/>
        <w:szCs w:val="24"/>
      </w:rPr>
    </w:pPr>
  </w:p>
  <w:p w:rsidR="002B69C5" w:rsidRPr="006B4439" w:rsidRDefault="002B69C5" w:rsidP="006B4439">
    <w:pPr>
      <w:pStyle w:val="Encabezado"/>
      <w:pBdr>
        <w:bottom w:val="single" w:sz="12" w:space="1" w:color="000080"/>
      </w:pBdr>
      <w:jc w:val="right"/>
      <w:rPr>
        <w:rFonts w:ascii="Times New Roman" w:eastAsia="Times New Roman" w:hAnsi="Times New Roman" w:cs="Times New Roman"/>
        <w:b/>
        <w:color w:val="000080"/>
        <w:sz w:val="24"/>
        <w:szCs w:val="24"/>
      </w:rPr>
    </w:pPr>
    <w:r w:rsidRPr="006B4439">
      <w:rPr>
        <w:rFonts w:ascii="Times New Roman" w:eastAsia="Times New Roman" w:hAnsi="Times New Roman" w:cs="Times New Roman"/>
        <w:b/>
        <w:color w:val="000080"/>
        <w:sz w:val="24"/>
        <w:szCs w:val="24"/>
      </w:rPr>
      <w:t>FABETTI, BERTANI &amp; ASOCIADOS.</w:t>
    </w:r>
  </w:p>
  <w:p w:rsidR="002B69C5" w:rsidRPr="006B4439" w:rsidRDefault="002B69C5" w:rsidP="006B4439">
    <w:pPr>
      <w:pStyle w:val="Encabezado"/>
      <w:rPr>
        <w:rFonts w:ascii="Times New Roman" w:eastAsia="Times New Roman" w:hAnsi="Times New Roman" w:cs="Times New Roman"/>
        <w:sz w:val="24"/>
        <w:szCs w:val="24"/>
      </w:rPr>
    </w:pPr>
  </w:p>
  <w:p w:rsidR="002B69C5" w:rsidRPr="006B4439" w:rsidRDefault="002B69C5" w:rsidP="006B443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52BCA"/>
    <w:multiLevelType w:val="hybridMultilevel"/>
    <w:tmpl w:val="318C0DD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C6FDE"/>
    <w:multiLevelType w:val="hybridMultilevel"/>
    <w:tmpl w:val="D81652DA"/>
    <w:lvl w:ilvl="0" w:tplc="EAAC799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8AF5679"/>
    <w:multiLevelType w:val="hybridMultilevel"/>
    <w:tmpl w:val="63C283A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B124A3"/>
    <w:multiLevelType w:val="hybridMultilevel"/>
    <w:tmpl w:val="60005382"/>
    <w:lvl w:ilvl="0" w:tplc="0C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>
    <w:nsid w:val="10D1432F"/>
    <w:multiLevelType w:val="hybridMultilevel"/>
    <w:tmpl w:val="2A64AA8C"/>
    <w:lvl w:ilvl="0" w:tplc="0C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4B51378"/>
    <w:multiLevelType w:val="hybridMultilevel"/>
    <w:tmpl w:val="8B445648"/>
    <w:lvl w:ilvl="0" w:tplc="B05E9A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7834AC"/>
    <w:multiLevelType w:val="hybridMultilevel"/>
    <w:tmpl w:val="8B445648"/>
    <w:lvl w:ilvl="0" w:tplc="B05E9A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B3616B"/>
    <w:multiLevelType w:val="hybridMultilevel"/>
    <w:tmpl w:val="1B46AECC"/>
    <w:lvl w:ilvl="0" w:tplc="2C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297B1129"/>
    <w:multiLevelType w:val="hybridMultilevel"/>
    <w:tmpl w:val="FD4AB02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560CC5"/>
    <w:multiLevelType w:val="hybridMultilevel"/>
    <w:tmpl w:val="D7B4B1DC"/>
    <w:lvl w:ilvl="0" w:tplc="EAAC799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C461AD4"/>
    <w:multiLevelType w:val="hybridMultilevel"/>
    <w:tmpl w:val="F5707D4A"/>
    <w:lvl w:ilvl="0" w:tplc="EAAC7996">
      <w:start w:val="1"/>
      <w:numFmt w:val="lowerLetter"/>
      <w:lvlText w:val="%1)"/>
      <w:lvlJc w:val="left"/>
      <w:pPr>
        <w:ind w:left="12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466673EB"/>
    <w:multiLevelType w:val="hybridMultilevel"/>
    <w:tmpl w:val="D81652DA"/>
    <w:lvl w:ilvl="0" w:tplc="EAAC799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17252C5"/>
    <w:multiLevelType w:val="hybridMultilevel"/>
    <w:tmpl w:val="4588FAF2"/>
    <w:lvl w:ilvl="0" w:tplc="EA80F7F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57B92E72"/>
    <w:multiLevelType w:val="hybridMultilevel"/>
    <w:tmpl w:val="134231A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637FA3"/>
    <w:multiLevelType w:val="hybridMultilevel"/>
    <w:tmpl w:val="64CC46C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251DC3"/>
    <w:multiLevelType w:val="hybridMultilevel"/>
    <w:tmpl w:val="E3BAF5E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57B7054"/>
    <w:multiLevelType w:val="hybridMultilevel"/>
    <w:tmpl w:val="1D9C3F0C"/>
    <w:lvl w:ilvl="0" w:tplc="0C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>
    <w:nsid w:val="65C511A5"/>
    <w:multiLevelType w:val="hybridMultilevel"/>
    <w:tmpl w:val="43F8DE42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67FE58A5"/>
    <w:multiLevelType w:val="hybridMultilevel"/>
    <w:tmpl w:val="15166B32"/>
    <w:lvl w:ilvl="0" w:tplc="0C0A0017">
      <w:start w:val="1"/>
      <w:numFmt w:val="lowerLetter"/>
      <w:lvlText w:val="%1)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70D56907"/>
    <w:multiLevelType w:val="hybridMultilevel"/>
    <w:tmpl w:val="0518EC0C"/>
    <w:lvl w:ilvl="0" w:tplc="EC086F72">
      <w:start w:val="5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D82170"/>
    <w:multiLevelType w:val="hybridMultilevel"/>
    <w:tmpl w:val="BDB0B21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A430AC"/>
    <w:multiLevelType w:val="hybridMultilevel"/>
    <w:tmpl w:val="D722D10A"/>
    <w:lvl w:ilvl="0" w:tplc="9C4463A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37" w:hanging="360"/>
      </w:pPr>
    </w:lvl>
    <w:lvl w:ilvl="2" w:tplc="0C0A001B" w:tentative="1">
      <w:start w:val="1"/>
      <w:numFmt w:val="lowerRoman"/>
      <w:lvlText w:val="%3."/>
      <w:lvlJc w:val="right"/>
      <w:pPr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>
    <w:nsid w:val="7F3A1AA0"/>
    <w:multiLevelType w:val="hybridMultilevel"/>
    <w:tmpl w:val="8B445648"/>
    <w:lvl w:ilvl="0" w:tplc="B05E9A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2"/>
  </w:num>
  <w:num w:numId="3">
    <w:abstractNumId w:val="12"/>
  </w:num>
  <w:num w:numId="4">
    <w:abstractNumId w:val="16"/>
  </w:num>
  <w:num w:numId="5">
    <w:abstractNumId w:val="18"/>
  </w:num>
  <w:num w:numId="6">
    <w:abstractNumId w:val="17"/>
  </w:num>
  <w:num w:numId="7">
    <w:abstractNumId w:val="0"/>
  </w:num>
  <w:num w:numId="8">
    <w:abstractNumId w:val="21"/>
  </w:num>
  <w:num w:numId="9">
    <w:abstractNumId w:val="19"/>
  </w:num>
  <w:num w:numId="10">
    <w:abstractNumId w:val="20"/>
  </w:num>
  <w:num w:numId="11">
    <w:abstractNumId w:val="4"/>
  </w:num>
  <w:num w:numId="12">
    <w:abstractNumId w:val="1"/>
  </w:num>
  <w:num w:numId="13">
    <w:abstractNumId w:val="11"/>
  </w:num>
  <w:num w:numId="14">
    <w:abstractNumId w:val="9"/>
  </w:num>
  <w:num w:numId="15">
    <w:abstractNumId w:val="14"/>
  </w:num>
  <w:num w:numId="16">
    <w:abstractNumId w:val="22"/>
  </w:num>
  <w:num w:numId="17">
    <w:abstractNumId w:val="6"/>
  </w:num>
  <w:num w:numId="18">
    <w:abstractNumId w:val="5"/>
  </w:num>
  <w:num w:numId="19">
    <w:abstractNumId w:val="15"/>
  </w:num>
  <w:num w:numId="20">
    <w:abstractNumId w:val="3"/>
  </w:num>
  <w:num w:numId="21">
    <w:abstractNumId w:val="10"/>
  </w:num>
  <w:num w:numId="22">
    <w:abstractNumId w:val="7"/>
  </w:num>
  <w:num w:numId="23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472"/>
    <w:rsid w:val="00002E79"/>
    <w:rsid w:val="00032EE0"/>
    <w:rsid w:val="00044CF2"/>
    <w:rsid w:val="000626C1"/>
    <w:rsid w:val="000670C0"/>
    <w:rsid w:val="00083ED4"/>
    <w:rsid w:val="00087F46"/>
    <w:rsid w:val="00095FAA"/>
    <w:rsid w:val="000D78F5"/>
    <w:rsid w:val="000E759D"/>
    <w:rsid w:val="00112503"/>
    <w:rsid w:val="00120526"/>
    <w:rsid w:val="00125DAD"/>
    <w:rsid w:val="001306BD"/>
    <w:rsid w:val="00134692"/>
    <w:rsid w:val="001433A3"/>
    <w:rsid w:val="00145DF8"/>
    <w:rsid w:val="00151CA7"/>
    <w:rsid w:val="00170F51"/>
    <w:rsid w:val="00171DAC"/>
    <w:rsid w:val="00171EFB"/>
    <w:rsid w:val="00187DDD"/>
    <w:rsid w:val="001954B5"/>
    <w:rsid w:val="0019724C"/>
    <w:rsid w:val="001A4462"/>
    <w:rsid w:val="001B0D88"/>
    <w:rsid w:val="001C2C6F"/>
    <w:rsid w:val="001C3615"/>
    <w:rsid w:val="001C49B7"/>
    <w:rsid w:val="001D1ECA"/>
    <w:rsid w:val="001D5FEB"/>
    <w:rsid w:val="00241B1B"/>
    <w:rsid w:val="00277487"/>
    <w:rsid w:val="002A1035"/>
    <w:rsid w:val="002B69C5"/>
    <w:rsid w:val="002D5E3B"/>
    <w:rsid w:val="002E3145"/>
    <w:rsid w:val="00320569"/>
    <w:rsid w:val="00345CA0"/>
    <w:rsid w:val="003C1EC0"/>
    <w:rsid w:val="003E244C"/>
    <w:rsid w:val="003F3D63"/>
    <w:rsid w:val="004027E8"/>
    <w:rsid w:val="00424F19"/>
    <w:rsid w:val="00441A66"/>
    <w:rsid w:val="00450BFF"/>
    <w:rsid w:val="004726BA"/>
    <w:rsid w:val="0048205C"/>
    <w:rsid w:val="004827C5"/>
    <w:rsid w:val="00484719"/>
    <w:rsid w:val="004A6E0F"/>
    <w:rsid w:val="004A7087"/>
    <w:rsid w:val="004B0844"/>
    <w:rsid w:val="004F2C4A"/>
    <w:rsid w:val="00520041"/>
    <w:rsid w:val="00534EAC"/>
    <w:rsid w:val="005356FD"/>
    <w:rsid w:val="00547DC1"/>
    <w:rsid w:val="00561543"/>
    <w:rsid w:val="0059028D"/>
    <w:rsid w:val="005A132C"/>
    <w:rsid w:val="005A2C6A"/>
    <w:rsid w:val="005A7500"/>
    <w:rsid w:val="005C526D"/>
    <w:rsid w:val="005D2AE1"/>
    <w:rsid w:val="005D3AAA"/>
    <w:rsid w:val="005D51EE"/>
    <w:rsid w:val="005E154D"/>
    <w:rsid w:val="006124FE"/>
    <w:rsid w:val="0061499A"/>
    <w:rsid w:val="00623AD5"/>
    <w:rsid w:val="00632472"/>
    <w:rsid w:val="00641933"/>
    <w:rsid w:val="00641F9C"/>
    <w:rsid w:val="0065153F"/>
    <w:rsid w:val="00682716"/>
    <w:rsid w:val="00682C43"/>
    <w:rsid w:val="00685A19"/>
    <w:rsid w:val="006860D0"/>
    <w:rsid w:val="006B4439"/>
    <w:rsid w:val="006C1632"/>
    <w:rsid w:val="006D590F"/>
    <w:rsid w:val="00721887"/>
    <w:rsid w:val="00733BE0"/>
    <w:rsid w:val="0074318D"/>
    <w:rsid w:val="00746DF9"/>
    <w:rsid w:val="00773AE4"/>
    <w:rsid w:val="007772F7"/>
    <w:rsid w:val="00781B2F"/>
    <w:rsid w:val="00795B64"/>
    <w:rsid w:val="00795D62"/>
    <w:rsid w:val="007B68EC"/>
    <w:rsid w:val="007D2363"/>
    <w:rsid w:val="007E692B"/>
    <w:rsid w:val="007F3BDB"/>
    <w:rsid w:val="00804EB1"/>
    <w:rsid w:val="00830DE1"/>
    <w:rsid w:val="00847931"/>
    <w:rsid w:val="00877F50"/>
    <w:rsid w:val="00887072"/>
    <w:rsid w:val="008A3740"/>
    <w:rsid w:val="00920893"/>
    <w:rsid w:val="009213C7"/>
    <w:rsid w:val="0093689A"/>
    <w:rsid w:val="00936E70"/>
    <w:rsid w:val="009422E5"/>
    <w:rsid w:val="00950AAD"/>
    <w:rsid w:val="00967348"/>
    <w:rsid w:val="0097755C"/>
    <w:rsid w:val="0098302C"/>
    <w:rsid w:val="00986EEC"/>
    <w:rsid w:val="009909DD"/>
    <w:rsid w:val="00994471"/>
    <w:rsid w:val="009B027D"/>
    <w:rsid w:val="009C4AEC"/>
    <w:rsid w:val="009D0E42"/>
    <w:rsid w:val="009D0F82"/>
    <w:rsid w:val="00A172AD"/>
    <w:rsid w:val="00A34003"/>
    <w:rsid w:val="00A60890"/>
    <w:rsid w:val="00A66EEA"/>
    <w:rsid w:val="00A87119"/>
    <w:rsid w:val="00A908B2"/>
    <w:rsid w:val="00A9190E"/>
    <w:rsid w:val="00AF5373"/>
    <w:rsid w:val="00B05377"/>
    <w:rsid w:val="00B24FAB"/>
    <w:rsid w:val="00B42267"/>
    <w:rsid w:val="00B53FEB"/>
    <w:rsid w:val="00B8177D"/>
    <w:rsid w:val="00B84ACF"/>
    <w:rsid w:val="00B9385E"/>
    <w:rsid w:val="00BA6482"/>
    <w:rsid w:val="00BA6965"/>
    <w:rsid w:val="00BC40F1"/>
    <w:rsid w:val="00BE5626"/>
    <w:rsid w:val="00BF03C7"/>
    <w:rsid w:val="00BF5A2B"/>
    <w:rsid w:val="00C06473"/>
    <w:rsid w:val="00C17521"/>
    <w:rsid w:val="00C24D01"/>
    <w:rsid w:val="00C25CED"/>
    <w:rsid w:val="00C53A32"/>
    <w:rsid w:val="00C648B9"/>
    <w:rsid w:val="00C96F3B"/>
    <w:rsid w:val="00CC5056"/>
    <w:rsid w:val="00CD7FD0"/>
    <w:rsid w:val="00CE5AE4"/>
    <w:rsid w:val="00CE7561"/>
    <w:rsid w:val="00D04347"/>
    <w:rsid w:val="00D05073"/>
    <w:rsid w:val="00D07A5F"/>
    <w:rsid w:val="00D201DB"/>
    <w:rsid w:val="00D45599"/>
    <w:rsid w:val="00D71641"/>
    <w:rsid w:val="00D93A36"/>
    <w:rsid w:val="00D96366"/>
    <w:rsid w:val="00DB7CB8"/>
    <w:rsid w:val="00DC276B"/>
    <w:rsid w:val="00DC7C2F"/>
    <w:rsid w:val="00DD021B"/>
    <w:rsid w:val="00DE26BC"/>
    <w:rsid w:val="00DE5430"/>
    <w:rsid w:val="00E13366"/>
    <w:rsid w:val="00E25A49"/>
    <w:rsid w:val="00E47230"/>
    <w:rsid w:val="00E56725"/>
    <w:rsid w:val="00E819F7"/>
    <w:rsid w:val="00EA5E63"/>
    <w:rsid w:val="00EB39AB"/>
    <w:rsid w:val="00ED34A2"/>
    <w:rsid w:val="00EE2718"/>
    <w:rsid w:val="00F047BB"/>
    <w:rsid w:val="00F057B7"/>
    <w:rsid w:val="00F158B1"/>
    <w:rsid w:val="00F17D7B"/>
    <w:rsid w:val="00F40A02"/>
    <w:rsid w:val="00F84F8D"/>
    <w:rsid w:val="00F904FA"/>
    <w:rsid w:val="00F96BF9"/>
    <w:rsid w:val="00F9701D"/>
    <w:rsid w:val="00FC402A"/>
    <w:rsid w:val="00FD0761"/>
    <w:rsid w:val="00FD1CD6"/>
    <w:rsid w:val="00FD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7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rrepar2dofrancesnovedades">
    <w:name w:val="errepar_2dofrancesnovedades"/>
    <w:basedOn w:val="Normal"/>
    <w:rsid w:val="007F3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epar3erfrancesnovedades">
    <w:name w:val="errepar_3erfrancesnovedades"/>
    <w:basedOn w:val="Normal"/>
    <w:rsid w:val="007F3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pervnculo">
    <w:name w:val="hipervnculo"/>
    <w:basedOn w:val="Fuentedeprrafopredeter"/>
    <w:rsid w:val="007F3BDB"/>
  </w:style>
  <w:style w:type="paragraph" w:customStyle="1" w:styleId="sangrianovedades">
    <w:name w:val="sangrianovedades"/>
    <w:basedOn w:val="Normal"/>
    <w:rsid w:val="007F3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donegritanovedades">
    <w:name w:val="textocentradonegritanovedades"/>
    <w:basedOn w:val="Normal"/>
    <w:rsid w:val="007F3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D45599"/>
    <w:pPr>
      <w:ind w:left="720"/>
      <w:contextualSpacing/>
    </w:pPr>
  </w:style>
  <w:style w:type="paragraph" w:customStyle="1" w:styleId="errepar1erfrancesnovedades">
    <w:name w:val="errepar_1erfrancesnovedades"/>
    <w:basedOn w:val="Normal"/>
    <w:rsid w:val="0061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61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acentrado8">
    <w:name w:val="tablacentrado8"/>
    <w:basedOn w:val="Normal"/>
    <w:rsid w:val="00561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egritanovedades">
    <w:name w:val="negritanovedades"/>
    <w:basedOn w:val="Fuentedeprrafopredeter"/>
    <w:rsid w:val="00561543"/>
  </w:style>
  <w:style w:type="paragraph" w:customStyle="1" w:styleId="tablaizquierda8">
    <w:name w:val="tablaizquierda8"/>
    <w:basedOn w:val="Normal"/>
    <w:rsid w:val="00561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8novedades">
    <w:name w:val="texto8novedades"/>
    <w:basedOn w:val="Normal"/>
    <w:rsid w:val="00561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3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3FEB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nhideWhenUsed/>
    <w:rsid w:val="00994471"/>
    <w:pPr>
      <w:spacing w:after="0" w:line="240" w:lineRule="auto"/>
      <w:ind w:right="1043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9447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unhideWhenUsed/>
    <w:rsid w:val="006B44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B4439"/>
  </w:style>
  <w:style w:type="paragraph" w:styleId="Piedepgina">
    <w:name w:val="footer"/>
    <w:basedOn w:val="Normal"/>
    <w:link w:val="PiedepginaCar"/>
    <w:uiPriority w:val="99"/>
    <w:semiHidden/>
    <w:unhideWhenUsed/>
    <w:rsid w:val="006B44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B4439"/>
  </w:style>
  <w:style w:type="character" w:customStyle="1" w:styleId="apple-converted-space">
    <w:name w:val="apple-converted-space"/>
    <w:basedOn w:val="Fuentedeprrafopredeter"/>
    <w:rsid w:val="006D59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7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rrepar2dofrancesnovedades">
    <w:name w:val="errepar_2dofrancesnovedades"/>
    <w:basedOn w:val="Normal"/>
    <w:rsid w:val="007F3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epar3erfrancesnovedades">
    <w:name w:val="errepar_3erfrancesnovedades"/>
    <w:basedOn w:val="Normal"/>
    <w:rsid w:val="007F3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pervnculo">
    <w:name w:val="hipervnculo"/>
    <w:basedOn w:val="Fuentedeprrafopredeter"/>
    <w:rsid w:val="007F3BDB"/>
  </w:style>
  <w:style w:type="paragraph" w:customStyle="1" w:styleId="sangrianovedades">
    <w:name w:val="sangrianovedades"/>
    <w:basedOn w:val="Normal"/>
    <w:rsid w:val="007F3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donegritanovedades">
    <w:name w:val="textocentradonegritanovedades"/>
    <w:basedOn w:val="Normal"/>
    <w:rsid w:val="007F3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D45599"/>
    <w:pPr>
      <w:ind w:left="720"/>
      <w:contextualSpacing/>
    </w:pPr>
  </w:style>
  <w:style w:type="paragraph" w:customStyle="1" w:styleId="errepar1erfrancesnovedades">
    <w:name w:val="errepar_1erfrancesnovedades"/>
    <w:basedOn w:val="Normal"/>
    <w:rsid w:val="0061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61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acentrado8">
    <w:name w:val="tablacentrado8"/>
    <w:basedOn w:val="Normal"/>
    <w:rsid w:val="00561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egritanovedades">
    <w:name w:val="negritanovedades"/>
    <w:basedOn w:val="Fuentedeprrafopredeter"/>
    <w:rsid w:val="00561543"/>
  </w:style>
  <w:style w:type="paragraph" w:customStyle="1" w:styleId="tablaizquierda8">
    <w:name w:val="tablaizquierda8"/>
    <w:basedOn w:val="Normal"/>
    <w:rsid w:val="00561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8novedades">
    <w:name w:val="texto8novedades"/>
    <w:basedOn w:val="Normal"/>
    <w:rsid w:val="00561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3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3FEB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nhideWhenUsed/>
    <w:rsid w:val="00994471"/>
    <w:pPr>
      <w:spacing w:after="0" w:line="240" w:lineRule="auto"/>
      <w:ind w:right="1043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9447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unhideWhenUsed/>
    <w:rsid w:val="006B44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B4439"/>
  </w:style>
  <w:style w:type="paragraph" w:styleId="Piedepgina">
    <w:name w:val="footer"/>
    <w:basedOn w:val="Normal"/>
    <w:link w:val="PiedepginaCar"/>
    <w:uiPriority w:val="99"/>
    <w:semiHidden/>
    <w:unhideWhenUsed/>
    <w:rsid w:val="006B44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B4439"/>
  </w:style>
  <w:style w:type="character" w:customStyle="1" w:styleId="apple-converted-space">
    <w:name w:val="apple-converted-space"/>
    <w:basedOn w:val="Fuentedeprrafopredeter"/>
    <w:rsid w:val="006D5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23127-5126-4144-B5B8-251D0A3B9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663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Agustina Ferrari</dc:creator>
  <cp:lastModifiedBy>Paola</cp:lastModifiedBy>
  <cp:revision>11</cp:revision>
  <dcterms:created xsi:type="dcterms:W3CDTF">2020-04-01T19:07:00Z</dcterms:created>
  <dcterms:modified xsi:type="dcterms:W3CDTF">2020-04-02T19:56:00Z</dcterms:modified>
</cp:coreProperties>
</file>