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E" w:rsidRDefault="005605DE" w:rsidP="00FA7C51">
      <w:pPr>
        <w:ind w:right="1043"/>
        <w:rPr>
          <w:b/>
          <w:sz w:val="28"/>
          <w:u w:val="single"/>
        </w:rPr>
      </w:pPr>
    </w:p>
    <w:p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100</w:t>
      </w:r>
      <w:r w:rsidR="00B25C71">
        <w:rPr>
          <w:b/>
          <w:sz w:val="28"/>
          <w:u w:val="single"/>
        </w:rPr>
        <w:t>7</w:t>
      </w:r>
    </w:p>
    <w:p w:rsidR="00FA7C51" w:rsidRDefault="00FA7C51" w:rsidP="00FA7C51">
      <w:pPr>
        <w:pStyle w:val="Ttulo5"/>
        <w:jc w:val="left"/>
        <w:rPr>
          <w:i/>
        </w:rPr>
      </w:pPr>
    </w:p>
    <w:p w:rsidR="00FA7C51" w:rsidRDefault="00FA7C51" w:rsidP="00FA7C51"/>
    <w:p w:rsidR="00FA7C51" w:rsidRDefault="00477C3A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N°</w:t>
      </w:r>
      <w:r w:rsidR="00044011">
        <w:rPr>
          <w:i/>
          <w:lang w:val="es-ES_tradnl"/>
        </w:rPr>
        <w:t xml:space="preserve"> 4622 </w:t>
      </w:r>
      <w:r w:rsidR="00FA7C51">
        <w:rPr>
          <w:i/>
          <w:lang w:val="es-ES_tradnl"/>
        </w:rPr>
        <w:t>AFIP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</w:t>
      </w:r>
      <w:r w:rsidR="00253389">
        <w:rPr>
          <w:i/>
          <w:lang w:val="es-ES_tradnl"/>
        </w:rPr>
        <w:t xml:space="preserve"> </w:t>
      </w:r>
      <w:r w:rsidR="00044011">
        <w:rPr>
          <w:i/>
          <w:lang w:val="es-ES_tradnl"/>
        </w:rPr>
        <w:t>29</w:t>
      </w:r>
      <w:r>
        <w:rPr>
          <w:i/>
          <w:lang w:val="es-ES_tradnl"/>
        </w:rPr>
        <w:t>/</w:t>
      </w:r>
      <w:r w:rsidR="00876C99">
        <w:rPr>
          <w:i/>
          <w:lang w:val="es-ES_tradnl"/>
        </w:rPr>
        <w:t>10</w:t>
      </w:r>
      <w:r>
        <w:rPr>
          <w:i/>
          <w:lang w:val="es-ES_tradnl"/>
        </w:rPr>
        <w:t>/2019</w:t>
      </w:r>
    </w:p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Oficial: </w:t>
      </w:r>
      <w:r w:rsidR="00044011">
        <w:rPr>
          <w:i/>
          <w:lang w:val="es-ES_tradnl"/>
        </w:rPr>
        <w:t>30</w:t>
      </w:r>
      <w:r w:rsidR="00FA7C51">
        <w:rPr>
          <w:i/>
          <w:lang w:val="es-ES_tradnl"/>
        </w:rPr>
        <w:t>/</w:t>
      </w:r>
      <w:r w:rsidR="00876C99">
        <w:rPr>
          <w:i/>
          <w:lang w:val="es-ES_tradnl"/>
        </w:rPr>
        <w:t>1</w:t>
      </w:r>
      <w:r w:rsidR="00FA7C51">
        <w:rPr>
          <w:i/>
          <w:lang w:val="es-ES_tradnl"/>
        </w:rPr>
        <w:t>0/2019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</w:p>
    <w:p w:rsidR="0023552A" w:rsidRPr="0023552A" w:rsidRDefault="0023552A" w:rsidP="0023552A"/>
    <w:p w:rsidR="00FA7C51" w:rsidRPr="00FA7C51" w:rsidRDefault="004F539B" w:rsidP="005605DE">
      <w:pPr>
        <w:pStyle w:val="Ttulo5"/>
        <w:ind w:right="-2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Nuevo régimen de retención</w:t>
      </w:r>
      <w:r w:rsidR="00044011">
        <w:rPr>
          <w:u w:val="single"/>
          <w:lang w:val="es-ES_tradnl"/>
        </w:rPr>
        <w:t xml:space="preserve"> IVA y </w:t>
      </w:r>
      <w:r w:rsidR="008970C4">
        <w:rPr>
          <w:u w:val="single"/>
          <w:lang w:val="es-ES_tradnl"/>
        </w:rPr>
        <w:t>G</w:t>
      </w:r>
      <w:r w:rsidR="00044011">
        <w:rPr>
          <w:u w:val="single"/>
          <w:lang w:val="es-ES_tradnl"/>
        </w:rPr>
        <w:t>anancias para operaciones de transferencias electrónicas de fondos por cobranzas realizadas a comerciantes y / o locadores o prestadores de servicios con billeteras electrónicas.</w:t>
      </w:r>
      <w:r w:rsidR="008E0771" w:rsidRPr="008E0771">
        <w:rPr>
          <w:u w:val="single"/>
          <w:lang w:val="es-ES_tradnl"/>
        </w:rPr>
        <w:t xml:space="preserve"> </w:t>
      </w:r>
    </w:p>
    <w:p w:rsidR="00C57BB8" w:rsidRDefault="00C57BB8" w:rsidP="005605DE">
      <w:pPr>
        <w:ind w:right="-2"/>
        <w:jc w:val="both"/>
      </w:pPr>
    </w:p>
    <w:p w:rsidR="0023552A" w:rsidRDefault="0023552A" w:rsidP="005605DE">
      <w:pPr>
        <w:ind w:right="-2"/>
        <w:jc w:val="both"/>
      </w:pPr>
    </w:p>
    <w:p w:rsidR="004941A8" w:rsidRDefault="00FA7C51" w:rsidP="005605DE">
      <w:pPr>
        <w:ind w:right="-2"/>
        <w:jc w:val="both"/>
      </w:pPr>
      <w:r>
        <w:t>A través de la Resoluci</w:t>
      </w:r>
      <w:r w:rsidR="00002C18">
        <w:t>ó</w:t>
      </w:r>
      <w:r>
        <w:t xml:space="preserve">n General </w:t>
      </w:r>
      <w:r w:rsidR="00002C18">
        <w:t xml:space="preserve">Nº </w:t>
      </w:r>
      <w:r>
        <w:t>4</w:t>
      </w:r>
      <w:r w:rsidR="00044011">
        <w:t>62</w:t>
      </w:r>
      <w:r w:rsidR="0054713D">
        <w:t>2</w:t>
      </w:r>
      <w:r w:rsidR="00044011">
        <w:t xml:space="preserve"> </w:t>
      </w:r>
      <w:r w:rsidR="008970C4">
        <w:t xml:space="preserve">se </w:t>
      </w:r>
      <w:r w:rsidR="00002C18" w:rsidRPr="00002C18">
        <w:t xml:space="preserve">establece un régimen de retención del </w:t>
      </w:r>
      <w:r w:rsidR="0054713D">
        <w:t>Impuesto al Valor Agregado</w:t>
      </w:r>
      <w:r w:rsidR="00002C18" w:rsidRPr="00002C18">
        <w:t xml:space="preserve"> y </w:t>
      </w:r>
      <w:r w:rsidR="008970C4">
        <w:t>del Impuesto a</w:t>
      </w:r>
      <w:r w:rsidR="0054713D">
        <w:t xml:space="preserve"> las G</w:t>
      </w:r>
      <w:r w:rsidR="00002C18" w:rsidRPr="00002C18">
        <w:t>anancias aplicable a las liquidaciones que los sujetos que administren servicios electrónicos de pago y/o cobranzas por cuenta y orden de terceros efectúan a los comerciantes, locadores o prestadores de servicios.</w:t>
      </w:r>
    </w:p>
    <w:p w:rsidR="00A746E3" w:rsidRDefault="00A746E3" w:rsidP="005605DE">
      <w:pPr>
        <w:ind w:right="-2"/>
        <w:jc w:val="both"/>
      </w:pPr>
    </w:p>
    <w:p w:rsidR="00477C3A" w:rsidRDefault="00477C3A" w:rsidP="005605DE">
      <w:pPr>
        <w:ind w:right="-2"/>
        <w:jc w:val="both"/>
      </w:pPr>
    </w:p>
    <w:p w:rsidR="00A746E3" w:rsidRDefault="008F07A0" w:rsidP="005605DE">
      <w:pPr>
        <w:ind w:right="-2"/>
        <w:jc w:val="both"/>
      </w:pPr>
      <w:r>
        <w:t xml:space="preserve">A continuación se detallan los principales aspectos de </w:t>
      </w:r>
      <w:r w:rsidR="00477C3A">
        <w:t xml:space="preserve">la </w:t>
      </w:r>
      <w:r>
        <w:t xml:space="preserve">norma. </w:t>
      </w:r>
    </w:p>
    <w:p w:rsidR="00002C18" w:rsidRPr="00002C18" w:rsidRDefault="00002C18" w:rsidP="005605DE">
      <w:pPr>
        <w:ind w:right="-2"/>
        <w:jc w:val="both"/>
      </w:pPr>
    </w:p>
    <w:p w:rsidR="00002C18" w:rsidRPr="00044011" w:rsidRDefault="00002C18" w:rsidP="00002C18">
      <w:pPr>
        <w:ind w:right="-2"/>
        <w:jc w:val="both"/>
        <w:rPr>
          <w:highlight w:val="yellow"/>
        </w:rPr>
      </w:pPr>
    </w:p>
    <w:p w:rsidR="00002C18" w:rsidRPr="00002C18" w:rsidRDefault="008970C4" w:rsidP="00002C18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>Régimen de Retención</w:t>
      </w:r>
    </w:p>
    <w:p w:rsidR="00002C18" w:rsidRPr="00002C18" w:rsidRDefault="00002C18" w:rsidP="00002C18">
      <w:pPr>
        <w:ind w:right="-2"/>
        <w:jc w:val="both"/>
        <w:rPr>
          <w:b/>
          <w:u w:val="single"/>
        </w:rPr>
      </w:pPr>
    </w:p>
    <w:p w:rsidR="00A746E3" w:rsidRDefault="004941A8" w:rsidP="005605DE">
      <w:pPr>
        <w:ind w:right="-2"/>
        <w:jc w:val="both"/>
      </w:pPr>
      <w:r>
        <w:t xml:space="preserve">Se establecen </w:t>
      </w:r>
      <w:r w:rsidR="00002C18" w:rsidRPr="00002C18">
        <w:t xml:space="preserve">regímenes de retención de los </w:t>
      </w:r>
      <w:r w:rsidR="00002C18" w:rsidRPr="008970C4">
        <w:t>impuestos al valor agregado</w:t>
      </w:r>
      <w:r w:rsidR="00002C18" w:rsidRPr="00002C18">
        <w:t xml:space="preserve"> y a las </w:t>
      </w:r>
      <w:r w:rsidR="00002C18" w:rsidRPr="008970C4">
        <w:t>ganancias</w:t>
      </w:r>
      <w:r w:rsidR="00002C18" w:rsidRPr="00002C18">
        <w:t xml:space="preserve"> a cargo de los sujetos que administren servicios electrónicos de pagos y/o cobranzas por cuenta y orden de terceros, incluso a través del uso de dispositivos móviles y/o cualquier otro soporte electrónico, comprendidos los virtuales, aplicable a las liquidaciones que se efectúen a los comerciantes, locadores o prestadores de servicios por la utilización de dichos sistemas de pago.</w:t>
      </w:r>
    </w:p>
    <w:p w:rsidR="00002C18" w:rsidRDefault="00002C18" w:rsidP="005605DE">
      <w:pPr>
        <w:ind w:right="-2"/>
        <w:jc w:val="both"/>
      </w:pPr>
    </w:p>
    <w:p w:rsidR="005C3879" w:rsidRPr="001C3E8B" w:rsidRDefault="001C3E8B" w:rsidP="005605DE">
      <w:pPr>
        <w:ind w:right="-2"/>
        <w:jc w:val="both"/>
      </w:pPr>
      <w:r w:rsidRPr="001C3E8B">
        <w:t>No corresponderá aplicar la retención cuando las liquidaciones se efectúen a sujetos que administren los mencionados servicios electrónicos de pago y/o cobranzas o a entidades administradoras de sistemas de pago con tarjetas de crédito, de compra y/o de pago.</w:t>
      </w:r>
    </w:p>
    <w:p w:rsidR="001C3E8B" w:rsidRPr="001C3E8B" w:rsidRDefault="001C3E8B" w:rsidP="005605DE">
      <w:pPr>
        <w:ind w:right="-2"/>
        <w:jc w:val="both"/>
      </w:pPr>
    </w:p>
    <w:p w:rsidR="001C3E8B" w:rsidRPr="00002C18" w:rsidRDefault="001C3E8B" w:rsidP="005605DE">
      <w:pPr>
        <w:ind w:right="-2"/>
        <w:jc w:val="both"/>
      </w:pPr>
    </w:p>
    <w:p w:rsidR="009A4862" w:rsidRPr="004941A8" w:rsidRDefault="00CC04EA" w:rsidP="00CC04EA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4941A8">
        <w:rPr>
          <w:b/>
          <w:u w:val="single"/>
        </w:rPr>
        <w:t xml:space="preserve">Sujetos </w:t>
      </w:r>
      <w:r w:rsidR="004941A8" w:rsidRPr="004941A8">
        <w:rPr>
          <w:b/>
          <w:u w:val="single"/>
        </w:rPr>
        <w:t>Pasibles de Retención</w:t>
      </w:r>
      <w:r w:rsidRPr="004941A8">
        <w:rPr>
          <w:b/>
          <w:u w:val="single"/>
        </w:rPr>
        <w:t xml:space="preserve"> </w:t>
      </w:r>
    </w:p>
    <w:p w:rsidR="00CC04EA" w:rsidRPr="00044011" w:rsidRDefault="00CC04EA" w:rsidP="00CC04EA">
      <w:pPr>
        <w:ind w:right="-2"/>
        <w:jc w:val="both"/>
        <w:rPr>
          <w:b/>
          <w:highlight w:val="yellow"/>
          <w:u w:val="single"/>
        </w:rPr>
      </w:pPr>
    </w:p>
    <w:p w:rsidR="004941A8" w:rsidRDefault="00840E4D" w:rsidP="001C3E8B">
      <w:pPr>
        <w:ind w:right="-2"/>
        <w:jc w:val="both"/>
      </w:pPr>
      <w:r>
        <w:t xml:space="preserve">Los </w:t>
      </w:r>
      <w:r w:rsidR="004941A8" w:rsidRPr="004941A8">
        <w:t>sujetos pasibles de las retenciones</w:t>
      </w:r>
      <w:r>
        <w:t xml:space="preserve"> serán</w:t>
      </w:r>
      <w:r w:rsidR="004941A8" w:rsidRPr="004941A8">
        <w:t xml:space="preserve"> los comerciantes, locadores o prestadores de servicios, siempre que:</w:t>
      </w:r>
    </w:p>
    <w:p w:rsidR="004941A8" w:rsidRDefault="004941A8" w:rsidP="001C3E8B">
      <w:pPr>
        <w:ind w:right="-2"/>
        <w:jc w:val="both"/>
      </w:pPr>
    </w:p>
    <w:p w:rsidR="004941A8" w:rsidRDefault="004941A8" w:rsidP="001C3E8B">
      <w:pPr>
        <w:ind w:right="-2"/>
        <w:jc w:val="both"/>
      </w:pPr>
      <w:r>
        <w:tab/>
      </w:r>
      <w:r w:rsidRPr="004941A8">
        <w:t>a) Revistan el carácter de responsables inscriptos en el impuesto al valor agregado, o</w:t>
      </w:r>
    </w:p>
    <w:p w:rsidR="004941A8" w:rsidRPr="004941A8" w:rsidRDefault="004941A8" w:rsidP="001C3E8B">
      <w:pPr>
        <w:ind w:right="-2"/>
        <w:jc w:val="both"/>
      </w:pPr>
    </w:p>
    <w:p w:rsidR="004941A8" w:rsidRPr="004941A8" w:rsidRDefault="004941A8" w:rsidP="001C3E8B">
      <w:pPr>
        <w:ind w:left="705" w:right="-2"/>
        <w:jc w:val="both"/>
      </w:pPr>
      <w:r w:rsidRPr="004941A8">
        <w:t xml:space="preserve">b) no acrediten su calidad de responsables inscriptos, de exentos o no alcanzados, en </w:t>
      </w:r>
      <w:r>
        <w:tab/>
      </w:r>
      <w:r w:rsidRPr="004941A8">
        <w:t xml:space="preserve">el impuesto al valor agregado o, en su caso, de adheridos al Régimen Simplificado </w:t>
      </w:r>
      <w:r>
        <w:tab/>
      </w:r>
      <w:r w:rsidRPr="004941A8">
        <w:t>pa</w:t>
      </w:r>
      <w:r w:rsidR="008970C4">
        <w:t xml:space="preserve">ra Pequeños Contribuyentes. </w:t>
      </w:r>
    </w:p>
    <w:p w:rsidR="004941A8" w:rsidRDefault="004941A8" w:rsidP="001C3E8B">
      <w:pPr>
        <w:ind w:right="-2"/>
        <w:jc w:val="both"/>
      </w:pPr>
    </w:p>
    <w:p w:rsidR="008855A9" w:rsidRPr="004941A8" w:rsidRDefault="008855A9" w:rsidP="001C3E8B">
      <w:pPr>
        <w:ind w:right="-2"/>
        <w:jc w:val="both"/>
      </w:pPr>
      <w:r>
        <w:t xml:space="preserve">La retención del impuesto a las ganancias procederá en tanto las rentas de los comerciantes, locadores o prestadores de servicios no se encuentren exentas o excluidas del mencionado gravamen. </w:t>
      </w:r>
    </w:p>
    <w:p w:rsidR="004941A8" w:rsidRDefault="004941A8" w:rsidP="00CC04EA">
      <w:pPr>
        <w:ind w:right="-2"/>
        <w:jc w:val="both"/>
        <w:rPr>
          <w:rFonts w:ascii="Verdana" w:hAnsi="Verdana"/>
          <w:color w:val="000000"/>
          <w:sz w:val="19"/>
          <w:szCs w:val="19"/>
        </w:rPr>
      </w:pPr>
    </w:p>
    <w:p w:rsidR="0054713D" w:rsidRDefault="0054713D" w:rsidP="00CC04EA">
      <w:pPr>
        <w:ind w:right="-2"/>
        <w:jc w:val="both"/>
        <w:rPr>
          <w:rFonts w:ascii="Verdana" w:hAnsi="Verdana"/>
          <w:color w:val="000000"/>
          <w:sz w:val="19"/>
          <w:szCs w:val="19"/>
        </w:rPr>
      </w:pPr>
    </w:p>
    <w:p w:rsidR="00EA5A24" w:rsidRPr="0054713D" w:rsidRDefault="004941A8" w:rsidP="00EA5A24">
      <w:pPr>
        <w:pStyle w:val="Prrafodelista"/>
        <w:numPr>
          <w:ilvl w:val="0"/>
          <w:numId w:val="14"/>
        </w:numPr>
        <w:ind w:right="-2"/>
        <w:jc w:val="both"/>
      </w:pPr>
      <w:r w:rsidRPr="004941A8">
        <w:rPr>
          <w:b/>
          <w:u w:val="single"/>
        </w:rPr>
        <w:t>Sujetos Excluidos</w:t>
      </w:r>
    </w:p>
    <w:p w:rsidR="0054713D" w:rsidRPr="004941A8" w:rsidRDefault="0054713D" w:rsidP="0054713D">
      <w:pPr>
        <w:pStyle w:val="Prrafodelista"/>
        <w:ind w:right="-2"/>
        <w:jc w:val="both"/>
      </w:pPr>
    </w:p>
    <w:p w:rsidR="004941A8" w:rsidRDefault="005C3879" w:rsidP="00EA5A24">
      <w:pPr>
        <w:ind w:right="-2"/>
        <w:jc w:val="both"/>
      </w:pPr>
      <w:r>
        <w:t xml:space="preserve">No serán pasibles de los regímenes de retención del </w:t>
      </w:r>
      <w:r w:rsidR="008970C4">
        <w:t>i</w:t>
      </w:r>
      <w:r>
        <w:t xml:space="preserve">mpuesto al </w:t>
      </w:r>
      <w:r w:rsidR="008970C4">
        <w:t>v</w:t>
      </w:r>
      <w:r>
        <w:t xml:space="preserve">alor </w:t>
      </w:r>
      <w:r w:rsidR="008970C4">
        <w:t>a</w:t>
      </w:r>
      <w:r>
        <w:t xml:space="preserve">gregado y del </w:t>
      </w:r>
      <w:r w:rsidR="008970C4">
        <w:t>i</w:t>
      </w:r>
      <w:r>
        <w:t xml:space="preserve">mpuesto a las </w:t>
      </w:r>
      <w:r w:rsidR="008970C4">
        <w:t>g</w:t>
      </w:r>
      <w:r w:rsidR="00A07235">
        <w:t>anancias</w:t>
      </w:r>
      <w:r w:rsidR="004941A8" w:rsidRPr="007D1906">
        <w:t xml:space="preserve">, los sujetos categorizados como </w:t>
      </w:r>
      <w:r w:rsidR="004941A8" w:rsidRPr="001C3E8B">
        <w:rPr>
          <w:b/>
        </w:rPr>
        <w:t>“Micro Empresas”</w:t>
      </w:r>
      <w:r w:rsidR="004941A8" w:rsidRPr="007D1906">
        <w:t xml:space="preserve"> en los términos</w:t>
      </w:r>
      <w:r w:rsidR="0028795B">
        <w:t xml:space="preserve"> que dispone</w:t>
      </w:r>
      <w:r w:rsidR="004941A8" w:rsidRPr="007D1906">
        <w:t xml:space="preserve"> la Secretaría de Emprendedores y de la Pequeña y Mediana Empresa, o como </w:t>
      </w:r>
      <w:r w:rsidR="004941A8" w:rsidRPr="001C3E8B">
        <w:rPr>
          <w:b/>
        </w:rPr>
        <w:t>“Potenciales Micro Empresas”</w:t>
      </w:r>
      <w:r w:rsidR="008855A9">
        <w:t>.</w:t>
      </w:r>
    </w:p>
    <w:p w:rsidR="00A07235" w:rsidRPr="007D1906" w:rsidRDefault="00A07235" w:rsidP="00EA5A24">
      <w:pPr>
        <w:ind w:right="-2"/>
        <w:jc w:val="both"/>
      </w:pPr>
    </w:p>
    <w:p w:rsidR="004941A8" w:rsidRPr="007D1906" w:rsidRDefault="004941A8" w:rsidP="00EA5A24">
      <w:pPr>
        <w:ind w:right="-2"/>
        <w:jc w:val="both"/>
      </w:pPr>
      <w:r w:rsidRPr="007D1906">
        <w:t>A tales fines, los sujetos categorizados como “Potenciales Micro Empresas” deberán acceder con clave fiscal a través del sitio “web” institucional (http://www.afip.gob.ar), al servicio “Sistema Registral”, menú “Registros Especiales”, opción “Características y Registros Especiales”, “Registro de Beneficios” y seleccionar la caracterización “430 - Beneficio Eximición de Retenciones - Pagos electrónicos”.</w:t>
      </w:r>
    </w:p>
    <w:p w:rsidR="004941A8" w:rsidRDefault="004941A8" w:rsidP="00EA5A24">
      <w:pPr>
        <w:ind w:right="-2"/>
        <w:jc w:val="both"/>
      </w:pPr>
    </w:p>
    <w:p w:rsidR="00AD261B" w:rsidRDefault="00AD261B" w:rsidP="00EA5A24">
      <w:pPr>
        <w:ind w:right="-2"/>
        <w:jc w:val="both"/>
      </w:pPr>
      <w:r w:rsidRPr="00AD261B">
        <w:t>La selección de la caracterización mencionada en el párrafo anterior implicará el consentimiento a este Organismo por parte del contribuyente para reflejar la misma en la constancia de inscripción y para transmitir dicha información a los agentes de retención.</w:t>
      </w:r>
    </w:p>
    <w:p w:rsidR="008855A9" w:rsidRDefault="008855A9" w:rsidP="00EA5A24">
      <w:pPr>
        <w:ind w:right="-2"/>
        <w:jc w:val="both"/>
      </w:pPr>
    </w:p>
    <w:p w:rsidR="00AD261B" w:rsidRPr="00AD261B" w:rsidRDefault="00AD261B" w:rsidP="00EA5A24">
      <w:pPr>
        <w:ind w:right="-2"/>
        <w:jc w:val="both"/>
      </w:pPr>
    </w:p>
    <w:p w:rsidR="004D312D" w:rsidRPr="004D312D" w:rsidRDefault="004D312D" w:rsidP="004D312D">
      <w:pPr>
        <w:pStyle w:val="Prrafodelista"/>
        <w:numPr>
          <w:ilvl w:val="0"/>
          <w:numId w:val="14"/>
        </w:numPr>
        <w:ind w:right="-2"/>
        <w:jc w:val="both"/>
      </w:pPr>
      <w:r>
        <w:rPr>
          <w:b/>
          <w:u w:val="single"/>
        </w:rPr>
        <w:t>Oportunidad para practicar retenciones</w:t>
      </w:r>
    </w:p>
    <w:p w:rsidR="004D312D" w:rsidRDefault="004D312D" w:rsidP="004D312D">
      <w:pPr>
        <w:ind w:right="-2"/>
        <w:jc w:val="both"/>
      </w:pPr>
    </w:p>
    <w:p w:rsidR="004941A8" w:rsidRPr="007D1906" w:rsidRDefault="004D312D" w:rsidP="00EA5A24">
      <w:pPr>
        <w:ind w:right="-2"/>
        <w:jc w:val="both"/>
      </w:pPr>
      <w:r w:rsidRPr="007D1906">
        <w:t>Las retenciones deberán practicarse en el momento en que se efectúe el pago de las liquidaciones correspondientes a las operaciones realizadas por los usuarios de dichos sistemas.</w:t>
      </w:r>
    </w:p>
    <w:p w:rsidR="00555344" w:rsidRDefault="00555344" w:rsidP="00555344">
      <w:pPr>
        <w:ind w:right="-2"/>
        <w:jc w:val="both"/>
      </w:pPr>
    </w:p>
    <w:p w:rsidR="00555344" w:rsidRPr="004941A8" w:rsidRDefault="00043B3E" w:rsidP="00555344">
      <w:pPr>
        <w:ind w:right="-2"/>
        <w:jc w:val="both"/>
      </w:pPr>
      <w:r>
        <w:t>Asimismo, l</w:t>
      </w:r>
      <w:r w:rsidR="00555344" w:rsidRPr="00555344">
        <w:t>os sujetos obligados a actuar como agentes de retención deberán verificar la condición</w:t>
      </w:r>
      <w:r w:rsidR="007F533D">
        <w:t xml:space="preserve"> fiscal del sujeto pasible ante la</w:t>
      </w:r>
      <w:r w:rsidR="00555344" w:rsidRPr="00555344">
        <w:t xml:space="preserve"> Administración Federal </w:t>
      </w:r>
      <w:r>
        <w:t xml:space="preserve">de Ingresos Públicos. </w:t>
      </w:r>
    </w:p>
    <w:p w:rsidR="004941A8" w:rsidRDefault="004941A8" w:rsidP="00EA5A24">
      <w:pPr>
        <w:ind w:right="-2"/>
        <w:jc w:val="both"/>
        <w:rPr>
          <w:highlight w:val="yellow"/>
        </w:rPr>
      </w:pPr>
    </w:p>
    <w:p w:rsidR="00043B3E" w:rsidRDefault="00043B3E" w:rsidP="00EA5A24">
      <w:pPr>
        <w:ind w:right="-2"/>
        <w:jc w:val="both"/>
        <w:rPr>
          <w:highlight w:val="yellow"/>
        </w:rPr>
      </w:pPr>
    </w:p>
    <w:p w:rsidR="004D312D" w:rsidRPr="00555344" w:rsidRDefault="004D312D" w:rsidP="004D312D">
      <w:pPr>
        <w:pStyle w:val="Prrafodelista"/>
        <w:numPr>
          <w:ilvl w:val="0"/>
          <w:numId w:val="14"/>
        </w:numPr>
        <w:ind w:right="-2"/>
        <w:jc w:val="both"/>
      </w:pPr>
      <w:r>
        <w:rPr>
          <w:b/>
          <w:u w:val="single"/>
        </w:rPr>
        <w:t>Determinación de los importes a retener.</w:t>
      </w:r>
    </w:p>
    <w:p w:rsidR="00555344" w:rsidRDefault="00555344" w:rsidP="00555344">
      <w:pPr>
        <w:ind w:right="-2"/>
        <w:jc w:val="both"/>
      </w:pPr>
    </w:p>
    <w:p w:rsidR="00555344" w:rsidRDefault="00555344" w:rsidP="00384F02">
      <w:pPr>
        <w:ind w:right="-2"/>
        <w:jc w:val="both"/>
      </w:pPr>
      <w:r w:rsidRPr="00384F02">
        <w:t>El importe de la retención a practicar por cada impuesto se determinará aplicando sobre el importe neto a pagar antes del cómputo de otras retenciones fiscales (nacionales, provinciales y/o municipales) que resulten procedentes, las alícuotas que -para cada caso- se fijan a continuación:</w:t>
      </w:r>
    </w:p>
    <w:p w:rsidR="00043B3E" w:rsidRPr="00384F02" w:rsidRDefault="00043B3E" w:rsidP="00384F02">
      <w:pPr>
        <w:ind w:right="-2"/>
        <w:jc w:val="both"/>
      </w:pPr>
    </w:p>
    <w:p w:rsidR="00555344" w:rsidRPr="00043B3E" w:rsidRDefault="00555344" w:rsidP="00555344">
      <w:pPr>
        <w:pStyle w:val="errepar1erfrancesnovedades"/>
        <w:spacing w:before="80" w:beforeAutospacing="0" w:after="0" w:afterAutospacing="0"/>
        <w:ind w:left="316" w:right="123"/>
        <w:jc w:val="both"/>
        <w:rPr>
          <w:color w:val="000000"/>
        </w:rPr>
      </w:pPr>
      <w:r w:rsidRPr="00043B3E">
        <w:rPr>
          <w:color w:val="000000"/>
        </w:rPr>
        <w:t>a) Para el</w:t>
      </w:r>
      <w:r w:rsidR="00043B3E" w:rsidRPr="00043B3E">
        <w:rPr>
          <w:color w:val="000000"/>
        </w:rPr>
        <w:t xml:space="preserve"> I</w:t>
      </w:r>
      <w:r w:rsidRPr="00043B3E">
        <w:rPr>
          <w:color w:val="000000"/>
        </w:rPr>
        <w:t xml:space="preserve">mpuesto al </w:t>
      </w:r>
      <w:r w:rsidR="00043B3E" w:rsidRPr="00043B3E">
        <w:rPr>
          <w:color w:val="000000"/>
        </w:rPr>
        <w:t>V</w:t>
      </w:r>
      <w:r w:rsidRPr="00043B3E">
        <w:rPr>
          <w:color w:val="000000"/>
        </w:rPr>
        <w:t xml:space="preserve">alor </w:t>
      </w:r>
      <w:r w:rsidR="00043B3E" w:rsidRPr="00043B3E">
        <w:rPr>
          <w:color w:val="000000"/>
        </w:rPr>
        <w:t>A</w:t>
      </w:r>
      <w:r w:rsidRPr="00043B3E">
        <w:rPr>
          <w:color w:val="000000"/>
        </w:rPr>
        <w:t>gregado:</w:t>
      </w:r>
    </w:p>
    <w:p w:rsidR="00043B3E" w:rsidRPr="00384F02" w:rsidRDefault="00043B3E" w:rsidP="00555344">
      <w:pPr>
        <w:pStyle w:val="errepar1erfrancesnovedades"/>
        <w:spacing w:before="80" w:beforeAutospacing="0" w:after="0" w:afterAutospacing="0"/>
        <w:ind w:left="316" w:right="123"/>
        <w:jc w:val="both"/>
        <w:rPr>
          <w:color w:val="000000"/>
        </w:rPr>
      </w:pPr>
    </w:p>
    <w:p w:rsidR="00555344" w:rsidRPr="00043B3E" w:rsidRDefault="00555344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color w:val="000000"/>
        </w:rPr>
      </w:pPr>
      <w:r w:rsidRPr="00384F02">
        <w:rPr>
          <w:color w:val="000000"/>
        </w:rPr>
        <w:t xml:space="preserve">1. De tratarse de sujetos que revistan la </w:t>
      </w:r>
      <w:r w:rsidRPr="00043B3E">
        <w:rPr>
          <w:color w:val="000000"/>
        </w:rPr>
        <w:t xml:space="preserve">calidad de </w:t>
      </w:r>
      <w:r w:rsidR="00043B3E">
        <w:rPr>
          <w:color w:val="000000"/>
        </w:rPr>
        <w:t>R</w:t>
      </w:r>
      <w:r w:rsidRPr="00043B3E">
        <w:rPr>
          <w:color w:val="000000"/>
        </w:rPr>
        <w:t xml:space="preserve">esponsables </w:t>
      </w:r>
      <w:r w:rsidR="00043B3E">
        <w:rPr>
          <w:color w:val="000000"/>
        </w:rPr>
        <w:t>I</w:t>
      </w:r>
      <w:r w:rsidRPr="00043B3E">
        <w:rPr>
          <w:color w:val="000000"/>
        </w:rPr>
        <w:t xml:space="preserve">nscriptos: </w:t>
      </w:r>
      <w:r w:rsidRPr="000F0321">
        <w:rPr>
          <w:b/>
          <w:color w:val="000000"/>
        </w:rPr>
        <w:t>0,50%.</w:t>
      </w:r>
    </w:p>
    <w:p w:rsidR="006D5730" w:rsidRDefault="006D5730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color w:val="000000"/>
        </w:rPr>
      </w:pPr>
    </w:p>
    <w:p w:rsidR="00555344" w:rsidRDefault="00555344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color w:val="000000"/>
        </w:rPr>
      </w:pPr>
      <w:r w:rsidRPr="00384F02">
        <w:rPr>
          <w:color w:val="000000"/>
        </w:rPr>
        <w:t xml:space="preserve">No obstante, cuando los pagos electrónicos de las operaciones efectuadas por los comerciantes, locadores o prestadores de servicios se realicen mediante la utilización de una </w:t>
      </w:r>
      <w:r w:rsidRPr="006D5730">
        <w:rPr>
          <w:color w:val="000000"/>
        </w:rPr>
        <w:t>tarjeta de crédito y/o compra</w:t>
      </w:r>
      <w:r w:rsidRPr="00384F02">
        <w:rPr>
          <w:color w:val="000000"/>
        </w:rPr>
        <w:t>, las alícuotas serán:</w:t>
      </w:r>
    </w:p>
    <w:p w:rsidR="006D5730" w:rsidRDefault="006D5730" w:rsidP="00555344">
      <w:pPr>
        <w:pStyle w:val="errepar3erfrancesnovedades"/>
        <w:spacing w:before="80" w:beforeAutospacing="0" w:after="0" w:afterAutospacing="0"/>
        <w:ind w:left="948" w:right="123"/>
        <w:jc w:val="both"/>
        <w:rPr>
          <w:color w:val="000000"/>
        </w:rPr>
      </w:pPr>
    </w:p>
    <w:p w:rsidR="00555344" w:rsidRDefault="00555344" w:rsidP="00555344">
      <w:pPr>
        <w:pStyle w:val="errepar3erfrancesnovedades"/>
        <w:spacing w:before="80" w:beforeAutospacing="0" w:after="0" w:afterAutospacing="0"/>
        <w:ind w:left="948" w:right="123"/>
        <w:jc w:val="both"/>
        <w:rPr>
          <w:b/>
          <w:color w:val="000000"/>
        </w:rPr>
      </w:pPr>
      <w:r w:rsidRPr="00384F02">
        <w:rPr>
          <w:color w:val="000000"/>
        </w:rPr>
        <w:t xml:space="preserve">1.1. </w:t>
      </w:r>
      <w:r w:rsidR="006D5730">
        <w:rPr>
          <w:color w:val="000000"/>
        </w:rPr>
        <w:t>Cu</w:t>
      </w:r>
      <w:r w:rsidRPr="00384F02">
        <w:rPr>
          <w:color w:val="000000"/>
        </w:rPr>
        <w:t xml:space="preserve">ando el sujeto </w:t>
      </w:r>
      <w:r w:rsidRPr="00F8006B">
        <w:rPr>
          <w:color w:val="000000"/>
        </w:rPr>
        <w:t>retenido se</w:t>
      </w:r>
      <w:r w:rsidR="006D5730">
        <w:rPr>
          <w:color w:val="000000"/>
        </w:rPr>
        <w:t xml:space="preserve">a un agente de retención que no revista la calidad de exportador y </w:t>
      </w:r>
      <w:r w:rsidRPr="00230A45">
        <w:rPr>
          <w:color w:val="000000"/>
        </w:rPr>
        <w:t>estaciones de servicio y bocas de expendio minoristas,</w:t>
      </w:r>
      <w:r w:rsidRPr="00384F02">
        <w:rPr>
          <w:color w:val="000000"/>
        </w:rPr>
        <w:t xml:space="preserve"> habilitadas para funcionar como tales en el ámbito municipal o comunal e inscriptas en el Re</w:t>
      </w:r>
      <w:r w:rsidR="006D5730">
        <w:rPr>
          <w:color w:val="000000"/>
        </w:rPr>
        <w:t xml:space="preserve">gistro de Empresas Petroleras: </w:t>
      </w:r>
      <w:r w:rsidR="006D5730" w:rsidRPr="006D5730">
        <w:rPr>
          <w:b/>
          <w:color w:val="000000"/>
        </w:rPr>
        <w:t>1</w:t>
      </w:r>
      <w:r w:rsidR="00E60F39">
        <w:rPr>
          <w:b/>
          <w:color w:val="000000"/>
        </w:rPr>
        <w:t>,00</w:t>
      </w:r>
      <w:r w:rsidR="006D5730" w:rsidRPr="006D5730">
        <w:rPr>
          <w:b/>
          <w:color w:val="000000"/>
        </w:rPr>
        <w:t>%</w:t>
      </w:r>
      <w:r w:rsidR="00E60F39">
        <w:rPr>
          <w:b/>
          <w:color w:val="000000"/>
        </w:rPr>
        <w:t>.</w:t>
      </w:r>
    </w:p>
    <w:p w:rsidR="00043B3E" w:rsidRDefault="005C3879" w:rsidP="00555344">
      <w:pPr>
        <w:pStyle w:val="errepar3erfrancesnovedades"/>
        <w:spacing w:before="80" w:beforeAutospacing="0" w:after="0" w:afterAutospacing="0"/>
        <w:ind w:left="948" w:right="123"/>
        <w:jc w:val="both"/>
        <w:rPr>
          <w:b/>
          <w:i/>
          <w:color w:val="000000"/>
        </w:rPr>
      </w:pPr>
      <w:r>
        <w:rPr>
          <w:color w:val="000000"/>
        </w:rPr>
        <w:lastRenderedPageBreak/>
        <w:br/>
      </w:r>
      <w:r w:rsidR="00555344" w:rsidRPr="00384F02">
        <w:rPr>
          <w:color w:val="000000"/>
        </w:rPr>
        <w:t xml:space="preserve">1.2. </w:t>
      </w:r>
      <w:r w:rsidR="00E60F39">
        <w:rPr>
          <w:color w:val="000000"/>
        </w:rPr>
        <w:t xml:space="preserve">Sujetos no comprendidos en el apartado anterior: </w:t>
      </w:r>
      <w:r w:rsidR="00555344" w:rsidRPr="00E60F39">
        <w:rPr>
          <w:b/>
          <w:color w:val="000000"/>
        </w:rPr>
        <w:t>3</w:t>
      </w:r>
      <w:r w:rsidR="00E60F39">
        <w:rPr>
          <w:b/>
          <w:color w:val="000000"/>
        </w:rPr>
        <w:t>,00</w:t>
      </w:r>
      <w:r w:rsidR="00555344" w:rsidRPr="00E60F39">
        <w:rPr>
          <w:b/>
          <w:color w:val="000000"/>
        </w:rPr>
        <w:t>%</w:t>
      </w:r>
      <w:r w:rsidR="00E60F39">
        <w:rPr>
          <w:b/>
          <w:color w:val="000000"/>
        </w:rPr>
        <w:t>.</w:t>
      </w:r>
    </w:p>
    <w:p w:rsidR="00E60F39" w:rsidRPr="00384F02" w:rsidRDefault="00E60F39" w:rsidP="00555344">
      <w:pPr>
        <w:pStyle w:val="errepar3erfrancesnovedades"/>
        <w:spacing w:before="80" w:beforeAutospacing="0" w:after="0" w:afterAutospacing="0"/>
        <w:ind w:left="948" w:right="123"/>
        <w:jc w:val="both"/>
        <w:rPr>
          <w:color w:val="000000"/>
        </w:rPr>
      </w:pPr>
    </w:p>
    <w:p w:rsidR="00555344" w:rsidRDefault="00555344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color w:val="000000"/>
        </w:rPr>
      </w:pPr>
      <w:r w:rsidRPr="00384F02">
        <w:rPr>
          <w:color w:val="000000"/>
        </w:rPr>
        <w:t xml:space="preserve">2. </w:t>
      </w:r>
      <w:r w:rsidR="003E5727">
        <w:rPr>
          <w:color w:val="000000"/>
        </w:rPr>
        <w:t xml:space="preserve">Sujetos </w:t>
      </w:r>
      <w:r w:rsidRPr="003E5727">
        <w:rPr>
          <w:color w:val="000000"/>
        </w:rPr>
        <w:t>que no acrediten su calidad de responsables inscriptos, de exentos o no alcanzados</w:t>
      </w:r>
      <w:r w:rsidRPr="00384F02">
        <w:rPr>
          <w:color w:val="000000"/>
        </w:rPr>
        <w:t xml:space="preserve">, en el impuesto </w:t>
      </w:r>
      <w:r w:rsidRPr="00F8006B">
        <w:rPr>
          <w:color w:val="000000"/>
        </w:rPr>
        <w:t xml:space="preserve">al valor agregado o, en su caso, su condición de pequeños contribuyentes adheridos al régimen simplificado </w:t>
      </w:r>
      <w:r w:rsidR="00F8006B" w:rsidRPr="00F8006B">
        <w:rPr>
          <w:color w:val="000000"/>
        </w:rPr>
        <w:t>de Monotributo</w:t>
      </w:r>
      <w:r w:rsidRPr="00F8006B">
        <w:rPr>
          <w:color w:val="000000"/>
        </w:rPr>
        <w:t>:</w:t>
      </w:r>
      <w:r w:rsidRPr="00384F02">
        <w:rPr>
          <w:color w:val="000000"/>
        </w:rPr>
        <w:t xml:space="preserve"> </w:t>
      </w:r>
      <w:r w:rsidRPr="003E5727">
        <w:rPr>
          <w:b/>
          <w:color w:val="000000"/>
        </w:rPr>
        <w:t>10,50%</w:t>
      </w:r>
      <w:r w:rsidRPr="00984A55">
        <w:rPr>
          <w:i/>
          <w:color w:val="000000"/>
        </w:rPr>
        <w:t>.</w:t>
      </w:r>
    </w:p>
    <w:p w:rsidR="006167E5" w:rsidRPr="00384F02" w:rsidRDefault="006167E5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color w:val="000000"/>
        </w:rPr>
      </w:pPr>
    </w:p>
    <w:p w:rsidR="00555344" w:rsidRDefault="00555344" w:rsidP="00555344">
      <w:pPr>
        <w:pStyle w:val="errepar1erfrancesnovedades"/>
        <w:spacing w:before="80" w:beforeAutospacing="0" w:after="0" w:afterAutospacing="0"/>
        <w:ind w:left="316" w:right="123"/>
        <w:jc w:val="both"/>
        <w:rPr>
          <w:color w:val="000000"/>
        </w:rPr>
      </w:pPr>
      <w:r w:rsidRPr="00384F02">
        <w:rPr>
          <w:color w:val="000000"/>
        </w:rPr>
        <w:t xml:space="preserve">b) Para el </w:t>
      </w:r>
      <w:r w:rsidR="003E5727" w:rsidRPr="00A251CC">
        <w:rPr>
          <w:color w:val="000000"/>
        </w:rPr>
        <w:t>I</w:t>
      </w:r>
      <w:r w:rsidRPr="00A251CC">
        <w:rPr>
          <w:color w:val="000000"/>
        </w:rPr>
        <w:t xml:space="preserve">mpuesto a las </w:t>
      </w:r>
      <w:r w:rsidR="003E5727" w:rsidRPr="00A251CC">
        <w:rPr>
          <w:color w:val="000000"/>
        </w:rPr>
        <w:t>G</w:t>
      </w:r>
      <w:r w:rsidRPr="00A251CC">
        <w:rPr>
          <w:color w:val="000000"/>
        </w:rPr>
        <w:t>anancias</w:t>
      </w:r>
      <w:r w:rsidRPr="00384F02">
        <w:rPr>
          <w:color w:val="000000"/>
        </w:rPr>
        <w:t>:</w:t>
      </w:r>
    </w:p>
    <w:p w:rsidR="003E5727" w:rsidRPr="00384F02" w:rsidRDefault="003E5727" w:rsidP="00555344">
      <w:pPr>
        <w:pStyle w:val="errepar1erfrancesnovedades"/>
        <w:spacing w:before="80" w:beforeAutospacing="0" w:after="0" w:afterAutospacing="0"/>
        <w:ind w:left="316" w:right="123"/>
        <w:jc w:val="both"/>
        <w:rPr>
          <w:color w:val="000000"/>
        </w:rPr>
      </w:pPr>
    </w:p>
    <w:p w:rsidR="00555344" w:rsidRDefault="00555344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i/>
          <w:color w:val="000000"/>
        </w:rPr>
      </w:pPr>
      <w:r w:rsidRPr="00384F02">
        <w:rPr>
          <w:color w:val="000000"/>
        </w:rPr>
        <w:t xml:space="preserve">1. </w:t>
      </w:r>
      <w:r w:rsidR="003E5727" w:rsidRPr="003E5727">
        <w:rPr>
          <w:color w:val="000000"/>
        </w:rPr>
        <w:t>R</w:t>
      </w:r>
      <w:r w:rsidRPr="003E5727">
        <w:rPr>
          <w:color w:val="000000"/>
        </w:rPr>
        <w:t xml:space="preserve">esponsables </w:t>
      </w:r>
      <w:r w:rsidR="003E5727" w:rsidRPr="003E5727">
        <w:rPr>
          <w:color w:val="000000"/>
        </w:rPr>
        <w:t>I</w:t>
      </w:r>
      <w:r w:rsidRPr="003E5727">
        <w:rPr>
          <w:color w:val="000000"/>
        </w:rPr>
        <w:t>nscriptos</w:t>
      </w:r>
      <w:r w:rsidRPr="00384F02">
        <w:rPr>
          <w:color w:val="000000"/>
        </w:rPr>
        <w:t xml:space="preserve"> en el impuesto al valor agregado: </w:t>
      </w:r>
      <w:r w:rsidRPr="003E5727">
        <w:rPr>
          <w:b/>
          <w:color w:val="000000"/>
        </w:rPr>
        <w:t>0,50%</w:t>
      </w:r>
      <w:r w:rsidRPr="003E5727">
        <w:rPr>
          <w:color w:val="000000"/>
        </w:rPr>
        <w:t>.</w:t>
      </w:r>
    </w:p>
    <w:p w:rsidR="003E5727" w:rsidRPr="00384F02" w:rsidRDefault="003E5727" w:rsidP="003E5727">
      <w:pPr>
        <w:pStyle w:val="errepar2dofrancesnovedades"/>
        <w:spacing w:before="80" w:beforeAutospacing="0" w:after="0" w:afterAutospacing="0"/>
        <w:ind w:right="123"/>
        <w:jc w:val="both"/>
        <w:rPr>
          <w:color w:val="000000"/>
        </w:rPr>
      </w:pPr>
    </w:p>
    <w:p w:rsidR="00555344" w:rsidRDefault="00555344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b/>
          <w:i/>
          <w:color w:val="000000"/>
        </w:rPr>
      </w:pPr>
      <w:r w:rsidRPr="00384F02">
        <w:rPr>
          <w:color w:val="000000"/>
        </w:rPr>
        <w:t xml:space="preserve">No obstante, dicha alícuota será </w:t>
      </w:r>
      <w:r w:rsidRPr="004C7F26">
        <w:rPr>
          <w:b/>
          <w:color w:val="000000"/>
        </w:rPr>
        <w:t>1</w:t>
      </w:r>
      <w:r w:rsidR="003E5727" w:rsidRPr="004C7F26">
        <w:rPr>
          <w:b/>
          <w:color w:val="000000"/>
        </w:rPr>
        <w:t>,00</w:t>
      </w:r>
      <w:r w:rsidRPr="004C7F26">
        <w:rPr>
          <w:b/>
          <w:color w:val="000000"/>
        </w:rPr>
        <w:t>%</w:t>
      </w:r>
      <w:r w:rsidRPr="00384F02">
        <w:rPr>
          <w:color w:val="000000"/>
        </w:rPr>
        <w:t xml:space="preserve"> cuando los pagos electrónicos de las operaciones efectuadas por los comerciantes, locadores o prestadores de servicios se realicen mediante la utilización de una </w:t>
      </w:r>
      <w:r w:rsidRPr="003E5727">
        <w:rPr>
          <w:color w:val="000000"/>
        </w:rPr>
        <w:t>tarjeta de crédito y/o compra.</w:t>
      </w:r>
    </w:p>
    <w:p w:rsidR="003E5727" w:rsidRPr="006167E5" w:rsidRDefault="003E5727" w:rsidP="003E5727">
      <w:pPr>
        <w:pStyle w:val="errepar2dofrancesnovedades"/>
        <w:spacing w:before="80" w:beforeAutospacing="0" w:after="0" w:afterAutospacing="0"/>
        <w:ind w:right="123"/>
        <w:jc w:val="both"/>
        <w:rPr>
          <w:b/>
          <w:i/>
          <w:color w:val="000000"/>
        </w:rPr>
      </w:pPr>
    </w:p>
    <w:p w:rsidR="00555344" w:rsidRDefault="00555344" w:rsidP="00555344">
      <w:pPr>
        <w:pStyle w:val="errepar2dofrancesnovedades"/>
        <w:spacing w:before="80" w:beforeAutospacing="0" w:after="0" w:afterAutospacing="0"/>
        <w:ind w:left="632" w:right="123"/>
        <w:jc w:val="both"/>
        <w:rPr>
          <w:color w:val="000000"/>
        </w:rPr>
      </w:pPr>
      <w:r w:rsidRPr="00384F02">
        <w:rPr>
          <w:color w:val="000000"/>
        </w:rPr>
        <w:t xml:space="preserve">2. </w:t>
      </w:r>
      <w:r w:rsidR="003E5727" w:rsidRPr="003E5727">
        <w:rPr>
          <w:color w:val="000000"/>
        </w:rPr>
        <w:t>S</w:t>
      </w:r>
      <w:r w:rsidRPr="003E5727">
        <w:rPr>
          <w:color w:val="000000"/>
        </w:rPr>
        <w:t>ujetos exentos o no alcanzados en el impuesto al valor agregado</w:t>
      </w:r>
      <w:r w:rsidRPr="00384F02">
        <w:rPr>
          <w:color w:val="000000"/>
        </w:rPr>
        <w:t xml:space="preserve">: </w:t>
      </w:r>
      <w:r w:rsidRPr="003E5727">
        <w:rPr>
          <w:b/>
          <w:color w:val="000000"/>
        </w:rPr>
        <w:t>2</w:t>
      </w:r>
      <w:r w:rsidR="003E5727" w:rsidRPr="003E5727">
        <w:rPr>
          <w:b/>
          <w:color w:val="000000"/>
        </w:rPr>
        <w:t>,00</w:t>
      </w:r>
      <w:r w:rsidRPr="003E5727">
        <w:rPr>
          <w:b/>
          <w:color w:val="000000"/>
        </w:rPr>
        <w:t>%</w:t>
      </w:r>
      <w:r w:rsidRPr="003E5727">
        <w:rPr>
          <w:b/>
          <w:i/>
          <w:color w:val="000000"/>
        </w:rPr>
        <w:t>.</w:t>
      </w:r>
    </w:p>
    <w:p w:rsidR="006167E5" w:rsidRPr="00384F02" w:rsidRDefault="006167E5" w:rsidP="00555344">
      <w:pPr>
        <w:pStyle w:val="sangrianovedades"/>
        <w:spacing w:before="80" w:beforeAutospacing="0" w:after="0" w:afterAutospacing="0"/>
        <w:ind w:left="123" w:right="123" w:firstLine="123"/>
        <w:jc w:val="both"/>
        <w:rPr>
          <w:color w:val="000000"/>
        </w:rPr>
      </w:pPr>
    </w:p>
    <w:p w:rsidR="00555344" w:rsidRPr="00384F02" w:rsidRDefault="00555344" w:rsidP="00D53D46">
      <w:pPr>
        <w:pStyle w:val="sangrianovedades"/>
        <w:spacing w:before="80" w:beforeAutospacing="0" w:after="0" w:afterAutospacing="0"/>
        <w:ind w:left="123" w:right="123" w:firstLine="19"/>
        <w:jc w:val="both"/>
        <w:rPr>
          <w:color w:val="000000"/>
        </w:rPr>
      </w:pPr>
      <w:r w:rsidRPr="00384F02">
        <w:rPr>
          <w:color w:val="000000"/>
        </w:rPr>
        <w:t xml:space="preserve">Cuando la liquidación que respalde el pago de las operaciones se encuentre expresada en </w:t>
      </w:r>
      <w:r w:rsidRPr="005C3879">
        <w:rPr>
          <w:color w:val="000000"/>
        </w:rPr>
        <w:t>moneda extranjera</w:t>
      </w:r>
      <w:r w:rsidRPr="00384F02">
        <w:rPr>
          <w:color w:val="000000"/>
        </w:rPr>
        <w:t>, el importe de la base de cálculo de las retenciones se determinará utilizando el tipo de cambio comprador correspondiente a la última cotización del Banco de la Nación Argentina para el día hábil inmediato anterior a aquel en que se efectúe la aludida liquidación.</w:t>
      </w:r>
    </w:p>
    <w:p w:rsidR="00555344" w:rsidRPr="004D312D" w:rsidRDefault="00555344" w:rsidP="00D53D46">
      <w:pPr>
        <w:ind w:right="-2"/>
        <w:jc w:val="both"/>
      </w:pPr>
    </w:p>
    <w:p w:rsidR="004D312D" w:rsidRPr="004D312D" w:rsidRDefault="004D312D" w:rsidP="00D53D46">
      <w:pPr>
        <w:pStyle w:val="Prrafodelista"/>
        <w:ind w:right="-2"/>
        <w:jc w:val="both"/>
      </w:pPr>
    </w:p>
    <w:p w:rsidR="004D312D" w:rsidRDefault="004D312D" w:rsidP="00D53D46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>Ingreso e Información de las retenciones</w:t>
      </w:r>
    </w:p>
    <w:p w:rsidR="00555344" w:rsidRDefault="00555344" w:rsidP="00D53D46">
      <w:pPr>
        <w:ind w:right="-2"/>
        <w:jc w:val="both"/>
        <w:rPr>
          <w:b/>
          <w:u w:val="single"/>
        </w:rPr>
      </w:pPr>
    </w:p>
    <w:p w:rsidR="00555344" w:rsidRPr="00555344" w:rsidRDefault="00555344" w:rsidP="00D53D46">
      <w:pPr>
        <w:ind w:right="-2"/>
        <w:jc w:val="both"/>
      </w:pPr>
      <w:r w:rsidRPr="00555344">
        <w:t xml:space="preserve">El ingreso e información de las retenciones se efectuará observando los procedimientos, plazos y demás condiciones establecidos </w:t>
      </w:r>
      <w:r w:rsidR="008970C4">
        <w:t>para el S</w:t>
      </w:r>
      <w:r w:rsidRPr="00555344">
        <w:t>istema de Control de Retenciones (SICORE), a cuyo efecto deberán utilizarse los códigos que se indican a continuación:</w:t>
      </w:r>
    </w:p>
    <w:p w:rsidR="004D312D" w:rsidRDefault="004D312D" w:rsidP="004D312D">
      <w:pPr>
        <w:pStyle w:val="Prrafodelista"/>
        <w:ind w:right="-2"/>
        <w:jc w:val="both"/>
        <w:rPr>
          <w:b/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1125"/>
        <w:gridCol w:w="7312"/>
      </w:tblGrid>
      <w:tr w:rsidR="00555344" w:rsidRPr="00555344" w:rsidTr="00555344"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Código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Descripción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Impuesto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Régimen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344" w:rsidRPr="00555344" w:rsidRDefault="00555344" w:rsidP="00555344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Inscriptos en IVA - Pagos efectuados por cualquier medio excepto tarjetas de crédito.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Inscriptos en IVA - Pagos efectuados con tarjetas de crédito.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Sujetos exentos o no alcanzados por el IVA.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Inscriptos en IVA - Pagos efectuados por cualquier medio excepto tarjetas de crédito.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Inscriptos en IVA - Pagos efectuados con tarjetas de crédito - Sujetos Anexo I de la resolución general 2854 y estaciones de servicio.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Inscriptos en IVA - Pagos efectuados con tarjetas de crédito - Sujetos no comprendidos en el Anexo I de la resolución general 2854.</w:t>
            </w:r>
          </w:p>
        </w:tc>
      </w:tr>
      <w:tr w:rsidR="00555344" w:rsidRPr="00555344" w:rsidTr="00555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55344" w:rsidRPr="00555344" w:rsidRDefault="00555344" w:rsidP="00555344">
            <w:pPr>
              <w:ind w:left="123" w:right="123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55344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Usuarios de sistemas de pago electrónico - No acrediten condición frente al IVA.</w:t>
            </w:r>
          </w:p>
        </w:tc>
      </w:tr>
    </w:tbl>
    <w:p w:rsidR="00555344" w:rsidRDefault="00555344" w:rsidP="00D53D46">
      <w:pPr>
        <w:pStyle w:val="Prrafodelista"/>
        <w:ind w:right="-2"/>
        <w:jc w:val="both"/>
        <w:rPr>
          <w:b/>
          <w:u w:val="single"/>
        </w:rPr>
      </w:pPr>
    </w:p>
    <w:p w:rsidR="00C36648" w:rsidRDefault="00C36648" w:rsidP="00D53D46">
      <w:pPr>
        <w:ind w:right="-2"/>
        <w:jc w:val="both"/>
      </w:pPr>
    </w:p>
    <w:p w:rsidR="00555344" w:rsidRPr="00C36648" w:rsidRDefault="00C36648" w:rsidP="00D53D46">
      <w:pPr>
        <w:ind w:right="-2"/>
        <w:jc w:val="both"/>
      </w:pPr>
      <w:r w:rsidRPr="00C36648">
        <w:lastRenderedPageBreak/>
        <w:t>Asimismo, en el momento en que se efectúe el pago de la liquidación y se practique la retención, el agente deberá entregar al sujeto pasible de la misma el comprobante</w:t>
      </w:r>
      <w:r>
        <w:t xml:space="preserve"> de retención correspondiente.</w:t>
      </w:r>
    </w:p>
    <w:p w:rsidR="00555344" w:rsidRDefault="00555344" w:rsidP="004D312D">
      <w:pPr>
        <w:pStyle w:val="Prrafodelista"/>
        <w:ind w:right="-2"/>
        <w:jc w:val="both"/>
      </w:pPr>
    </w:p>
    <w:p w:rsidR="00C36648" w:rsidRPr="00C36648" w:rsidRDefault="00C36648" w:rsidP="00696F29">
      <w:pPr>
        <w:ind w:right="-2"/>
        <w:jc w:val="both"/>
      </w:pPr>
    </w:p>
    <w:p w:rsidR="004D312D" w:rsidRPr="004D312D" w:rsidRDefault="004D312D" w:rsidP="004D312D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 xml:space="preserve">Carácter </w:t>
      </w:r>
      <w:r w:rsidR="00384F02">
        <w:rPr>
          <w:b/>
          <w:u w:val="single"/>
        </w:rPr>
        <w:t xml:space="preserve">y cómputo </w:t>
      </w:r>
      <w:r>
        <w:rPr>
          <w:b/>
          <w:u w:val="single"/>
        </w:rPr>
        <w:t>de la retención</w:t>
      </w:r>
    </w:p>
    <w:p w:rsidR="00EA5A24" w:rsidRDefault="00EA5A24" w:rsidP="00D53D46">
      <w:pPr>
        <w:ind w:right="-2"/>
        <w:jc w:val="both"/>
        <w:rPr>
          <w:highlight w:val="yellow"/>
        </w:rPr>
      </w:pPr>
    </w:p>
    <w:p w:rsidR="0098573F" w:rsidRDefault="00555344" w:rsidP="00D53D46">
      <w:pPr>
        <w:ind w:right="-2"/>
        <w:jc w:val="both"/>
      </w:pPr>
      <w:r w:rsidRPr="0098573F">
        <w:t>El importe de la retención tendrá para los sujetos pasibles el carácter de impuesto ingresado y será computable en la declaración jurada del período fiscal en el que se practicó.</w:t>
      </w:r>
    </w:p>
    <w:p w:rsidR="0098573F" w:rsidRDefault="0098573F" w:rsidP="00D53D46">
      <w:pPr>
        <w:ind w:right="-2"/>
        <w:jc w:val="both"/>
      </w:pPr>
    </w:p>
    <w:p w:rsidR="00555344" w:rsidRDefault="00555344" w:rsidP="00D53D46">
      <w:pPr>
        <w:ind w:right="-2"/>
        <w:jc w:val="both"/>
      </w:pPr>
      <w:r w:rsidRPr="0098573F">
        <w:t>Con carácter de excepción, únicamente respecto del impuesto al valor agregado, podrá computarse en la declaración jurada que corresponda presentar al primer vencimiento que opere con posterioridad a dicha retención, siempre que el respectivo hecho imponible se hubiera verificado en un período fiscal anterior.</w:t>
      </w:r>
    </w:p>
    <w:p w:rsidR="00500D75" w:rsidRDefault="00500D75" w:rsidP="00D53D46">
      <w:pPr>
        <w:ind w:right="-2"/>
        <w:jc w:val="both"/>
      </w:pPr>
    </w:p>
    <w:p w:rsidR="008333EF" w:rsidRDefault="008333EF" w:rsidP="00D53D46">
      <w:pPr>
        <w:ind w:right="-2"/>
        <w:jc w:val="both"/>
        <w:rPr>
          <w:highlight w:val="yellow"/>
        </w:rPr>
      </w:pPr>
    </w:p>
    <w:p w:rsidR="001B7759" w:rsidRPr="004941A8" w:rsidRDefault="001B7759" w:rsidP="00D53D46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4941A8">
        <w:rPr>
          <w:b/>
          <w:u w:val="single"/>
        </w:rPr>
        <w:t>Vigencia</w:t>
      </w:r>
    </w:p>
    <w:p w:rsidR="001B7759" w:rsidRPr="004941A8" w:rsidRDefault="001B7759" w:rsidP="00D53D46">
      <w:pPr>
        <w:ind w:right="-2"/>
        <w:jc w:val="both"/>
      </w:pPr>
    </w:p>
    <w:p w:rsidR="00FA7C51" w:rsidRPr="00FC582E" w:rsidRDefault="004941A8" w:rsidP="00D53D46">
      <w:pPr>
        <w:ind w:right="-2"/>
        <w:jc w:val="both"/>
      </w:pPr>
      <w:r w:rsidRPr="004941A8">
        <w:t>Las disposiciones de la</w:t>
      </w:r>
      <w:r w:rsidR="0098573F">
        <w:t xml:space="preserve"> presente</w:t>
      </w:r>
      <w:r w:rsidRPr="004941A8">
        <w:t xml:space="preserve"> serán de aplicación respecto de los pagos de las liquidaciones que se efectúen a partir del </w:t>
      </w:r>
      <w:r w:rsidRPr="0098573F">
        <w:t>19 de noviembre de 2019, inclusive.</w:t>
      </w:r>
    </w:p>
    <w:p w:rsidR="008E0771" w:rsidRPr="00FC582E" w:rsidRDefault="008E0771" w:rsidP="00D53D46">
      <w:pPr>
        <w:ind w:right="-568"/>
        <w:jc w:val="both"/>
      </w:pPr>
    </w:p>
    <w:p w:rsidR="008E0771" w:rsidRDefault="008E0771" w:rsidP="00D53D46">
      <w:pPr>
        <w:ind w:right="-568"/>
        <w:jc w:val="both"/>
      </w:pPr>
    </w:p>
    <w:p w:rsidR="00FC582E" w:rsidRDefault="00FC582E" w:rsidP="00D53D46">
      <w:pPr>
        <w:ind w:right="-568"/>
        <w:jc w:val="both"/>
      </w:pPr>
    </w:p>
    <w:p w:rsidR="008E0771" w:rsidRDefault="008E0771" w:rsidP="00D53D46">
      <w:pPr>
        <w:ind w:right="-568"/>
        <w:jc w:val="both"/>
      </w:pPr>
    </w:p>
    <w:p w:rsidR="008E0771" w:rsidRDefault="00E530EA" w:rsidP="00D53D46">
      <w:pPr>
        <w:ind w:right="-568"/>
        <w:jc w:val="both"/>
      </w:pPr>
      <w:r w:rsidRPr="00384F02">
        <w:t xml:space="preserve">Buenos Aires, </w:t>
      </w:r>
      <w:r w:rsidR="00677765">
        <w:t>14</w:t>
      </w:r>
      <w:r w:rsidR="008E0771" w:rsidRPr="00384F02">
        <w:t xml:space="preserve"> de </w:t>
      </w:r>
      <w:r w:rsidR="0098573F">
        <w:t>Noviembre</w:t>
      </w:r>
      <w:r w:rsidR="008E0771" w:rsidRPr="00384F02">
        <w:t xml:space="preserve"> de 2019.</w:t>
      </w:r>
    </w:p>
    <w:sectPr w:rsidR="008E0771" w:rsidSect="00477C3A">
      <w:head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35" w:rsidRDefault="00A07235" w:rsidP="005605DE">
      <w:r>
        <w:separator/>
      </w:r>
    </w:p>
  </w:endnote>
  <w:endnote w:type="continuationSeparator" w:id="1">
    <w:p w:rsidR="00A07235" w:rsidRDefault="00A07235" w:rsidP="0056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35" w:rsidRDefault="00A07235" w:rsidP="005605DE">
      <w:r>
        <w:separator/>
      </w:r>
    </w:p>
  </w:footnote>
  <w:footnote w:type="continuationSeparator" w:id="1">
    <w:p w:rsidR="00A07235" w:rsidRDefault="00A07235" w:rsidP="0056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35" w:rsidRDefault="00A07235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A07235" w:rsidRPr="005605DE" w:rsidRDefault="00A07235" w:rsidP="005605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51"/>
    <w:rsid w:val="00002C18"/>
    <w:rsid w:val="00043B3E"/>
    <w:rsid w:val="00044011"/>
    <w:rsid w:val="00053AEB"/>
    <w:rsid w:val="000C60FA"/>
    <w:rsid w:val="000F0321"/>
    <w:rsid w:val="001003B3"/>
    <w:rsid w:val="00171234"/>
    <w:rsid w:val="001A5182"/>
    <w:rsid w:val="001A5493"/>
    <w:rsid w:val="001B7759"/>
    <w:rsid w:val="001C3E8B"/>
    <w:rsid w:val="00230A45"/>
    <w:rsid w:val="0023552A"/>
    <w:rsid w:val="00253389"/>
    <w:rsid w:val="0028795B"/>
    <w:rsid w:val="002D1A1D"/>
    <w:rsid w:val="002F1B12"/>
    <w:rsid w:val="00384821"/>
    <w:rsid w:val="00384F02"/>
    <w:rsid w:val="003B290E"/>
    <w:rsid w:val="003B7AFA"/>
    <w:rsid w:val="003E5727"/>
    <w:rsid w:val="003E7C07"/>
    <w:rsid w:val="00432A19"/>
    <w:rsid w:val="00477C3A"/>
    <w:rsid w:val="004941A8"/>
    <w:rsid w:val="004C0C1D"/>
    <w:rsid w:val="004C7F26"/>
    <w:rsid w:val="004D312D"/>
    <w:rsid w:val="004F1AD9"/>
    <w:rsid w:val="004F23C5"/>
    <w:rsid w:val="004F539B"/>
    <w:rsid w:val="00500D75"/>
    <w:rsid w:val="00532015"/>
    <w:rsid w:val="0054713D"/>
    <w:rsid w:val="00555344"/>
    <w:rsid w:val="005570A1"/>
    <w:rsid w:val="005605DE"/>
    <w:rsid w:val="00581F00"/>
    <w:rsid w:val="005A3F86"/>
    <w:rsid w:val="005C3879"/>
    <w:rsid w:val="006167E5"/>
    <w:rsid w:val="00622C83"/>
    <w:rsid w:val="00623AD5"/>
    <w:rsid w:val="00627E1D"/>
    <w:rsid w:val="00632BC8"/>
    <w:rsid w:val="006668B4"/>
    <w:rsid w:val="00677765"/>
    <w:rsid w:val="00696F29"/>
    <w:rsid w:val="006B1473"/>
    <w:rsid w:val="006D5730"/>
    <w:rsid w:val="006E52CC"/>
    <w:rsid w:val="0072390A"/>
    <w:rsid w:val="00787AA6"/>
    <w:rsid w:val="007A6498"/>
    <w:rsid w:val="007B0870"/>
    <w:rsid w:val="007D1906"/>
    <w:rsid w:val="007F533D"/>
    <w:rsid w:val="008333EF"/>
    <w:rsid w:val="00840E4D"/>
    <w:rsid w:val="00855A59"/>
    <w:rsid w:val="00876C99"/>
    <w:rsid w:val="008855A9"/>
    <w:rsid w:val="008970C4"/>
    <w:rsid w:val="008B400B"/>
    <w:rsid w:val="008E0771"/>
    <w:rsid w:val="008E2409"/>
    <w:rsid w:val="008F07A0"/>
    <w:rsid w:val="008F4C19"/>
    <w:rsid w:val="009429D0"/>
    <w:rsid w:val="00984A55"/>
    <w:rsid w:val="0098573F"/>
    <w:rsid w:val="009872B7"/>
    <w:rsid w:val="009A4862"/>
    <w:rsid w:val="009F5636"/>
    <w:rsid w:val="00A04459"/>
    <w:rsid w:val="00A04597"/>
    <w:rsid w:val="00A07235"/>
    <w:rsid w:val="00A251CC"/>
    <w:rsid w:val="00A643B5"/>
    <w:rsid w:val="00A746E3"/>
    <w:rsid w:val="00AD261B"/>
    <w:rsid w:val="00B25C71"/>
    <w:rsid w:val="00B7768C"/>
    <w:rsid w:val="00BC7A2D"/>
    <w:rsid w:val="00BF05D6"/>
    <w:rsid w:val="00C36648"/>
    <w:rsid w:val="00C57BB8"/>
    <w:rsid w:val="00CC04EA"/>
    <w:rsid w:val="00CE7D10"/>
    <w:rsid w:val="00D46FCF"/>
    <w:rsid w:val="00D53D46"/>
    <w:rsid w:val="00DF7C22"/>
    <w:rsid w:val="00E530EA"/>
    <w:rsid w:val="00E60F39"/>
    <w:rsid w:val="00EA5123"/>
    <w:rsid w:val="00EA5A24"/>
    <w:rsid w:val="00EE5776"/>
    <w:rsid w:val="00F2794B"/>
    <w:rsid w:val="00F8006B"/>
    <w:rsid w:val="00F832B3"/>
    <w:rsid w:val="00FA7C51"/>
    <w:rsid w:val="00FC582E"/>
    <w:rsid w:val="00FD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rrepar1erfrancesnovedades">
    <w:name w:val="errepar_1erfrancesnovedades"/>
    <w:basedOn w:val="Normal"/>
    <w:rsid w:val="004941A8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">
    <w:name w:val="hipervnculo"/>
    <w:basedOn w:val="Fuentedeprrafopredeter"/>
    <w:rsid w:val="004941A8"/>
  </w:style>
  <w:style w:type="paragraph" w:customStyle="1" w:styleId="tablacentrado8">
    <w:name w:val="tablacentrado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555344"/>
  </w:style>
  <w:style w:type="paragraph" w:customStyle="1" w:styleId="tablaizquierda8">
    <w:name w:val="tablaizquierda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3erfrancesnovedades">
    <w:name w:val="errepar_3er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AD2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DA25-53C7-4DC7-8EE0-395696C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Analia Oddeni</cp:lastModifiedBy>
  <cp:revision>59</cp:revision>
  <cp:lastPrinted>2019-11-14T12:29:00Z</cp:lastPrinted>
  <dcterms:created xsi:type="dcterms:W3CDTF">2019-10-04T13:34:00Z</dcterms:created>
  <dcterms:modified xsi:type="dcterms:W3CDTF">2019-11-14T12:52:00Z</dcterms:modified>
</cp:coreProperties>
</file>