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2B713F">
        <w:rPr>
          <w:b/>
          <w:sz w:val="28"/>
          <w:u w:val="single"/>
        </w:rPr>
        <w:t>998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6F95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4595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E16F95">
        <w:rPr>
          <w:i/>
          <w:lang w:val="es-ES_tradnl"/>
        </w:rPr>
        <w:t>27</w:t>
      </w:r>
      <w:r w:rsidR="00867949">
        <w:rPr>
          <w:i/>
          <w:lang w:val="es-ES_tradnl"/>
        </w:rPr>
        <w:t>/09</w:t>
      </w:r>
      <w:r w:rsidR="002A633D">
        <w:rPr>
          <w:i/>
          <w:lang w:val="es-ES_tradnl"/>
        </w:rPr>
        <w:t>/2019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E16F95">
        <w:rPr>
          <w:i/>
          <w:lang w:val="es-ES_tradnl"/>
        </w:rPr>
        <w:t>30</w:t>
      </w:r>
      <w:r w:rsidR="00867949">
        <w:rPr>
          <w:i/>
          <w:lang w:val="es-ES_tradnl"/>
        </w:rPr>
        <w:t>/09</w:t>
      </w:r>
      <w:r w:rsidR="002A633D">
        <w:rPr>
          <w:i/>
          <w:lang w:val="es-ES_tradnl"/>
        </w:rPr>
        <w:t>/2019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960C02" w:rsidRPr="00FC3695" w:rsidRDefault="00FC3695" w:rsidP="00A92D07">
      <w:pPr>
        <w:ind w:right="50"/>
        <w:jc w:val="both"/>
        <w:rPr>
          <w:b/>
          <w:u w:val="single"/>
        </w:rPr>
      </w:pPr>
      <w:r w:rsidRPr="00FC3695">
        <w:rPr>
          <w:b/>
          <w:bCs/>
          <w:u w:val="single"/>
        </w:rPr>
        <w:t xml:space="preserve">Sistema Integral de Retenciones Electrónicas (SIRE). </w:t>
      </w:r>
      <w:r w:rsidR="002B713F">
        <w:rPr>
          <w:b/>
          <w:bCs/>
          <w:u w:val="single"/>
        </w:rPr>
        <w:t>Régimen de retención y percepción de IVA. Pr</w:t>
      </w:r>
      <w:r w:rsidRPr="00FC3695">
        <w:rPr>
          <w:b/>
          <w:bCs/>
          <w:u w:val="single"/>
        </w:rPr>
        <w:t>orroga</w:t>
      </w:r>
      <w:r w:rsidR="002B713F">
        <w:rPr>
          <w:b/>
          <w:bCs/>
          <w:u w:val="single"/>
        </w:rPr>
        <w:t>.</w:t>
      </w:r>
      <w:r w:rsidRPr="00FC3695">
        <w:rPr>
          <w:b/>
          <w:bCs/>
          <w:u w:val="single"/>
        </w:rPr>
        <w:t xml:space="preserve"> </w:t>
      </w:r>
    </w:p>
    <w:p w:rsidR="00FC3695" w:rsidRDefault="00FC3695" w:rsidP="00A92D07">
      <w:pPr>
        <w:ind w:right="50"/>
        <w:jc w:val="both"/>
        <w:rPr>
          <w:b/>
          <w:i/>
          <w:u w:val="single"/>
        </w:rPr>
      </w:pP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3D2AA3" w:rsidRDefault="00960C02" w:rsidP="00CE459B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>Resolución General 4595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FC3695">
        <w:rPr>
          <w:lang w:val="es-AR"/>
        </w:rPr>
        <w:t>establece</w:t>
      </w:r>
      <w:r w:rsidR="00FC3695" w:rsidRPr="00FC3695">
        <w:rPr>
          <w:lang w:val="es-AR"/>
        </w:rPr>
        <w:t xml:space="preserve"> modificaciones al Sistema Integral de Retenciones Electrónicas </w:t>
      </w:r>
      <w:r w:rsidR="00FC3695">
        <w:rPr>
          <w:lang w:val="es-AR"/>
        </w:rPr>
        <w:t>(SIRE)</w:t>
      </w:r>
      <w:r w:rsidR="003D2AA3">
        <w:rPr>
          <w:lang w:val="es-AR"/>
        </w:rPr>
        <w:t xml:space="preserve">. </w:t>
      </w:r>
      <w:r w:rsidR="003D2AA3" w:rsidRPr="003D2AA3">
        <w:rPr>
          <w:lang w:val="es-AR"/>
        </w:rPr>
        <w:t>(V</w:t>
      </w:r>
      <w:r w:rsidR="003D2AA3">
        <w:rPr>
          <w:lang w:val="es-AR"/>
        </w:rPr>
        <w:t>er Circular Impositiva Nro. 989)</w:t>
      </w: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3D2AA3" w:rsidP="003D2AA3">
      <w:pPr>
        <w:ind w:left="-567" w:right="50" w:firstLine="567"/>
        <w:jc w:val="both"/>
      </w:pPr>
      <w:r>
        <w:t xml:space="preserve">Destacamos a continuación  </w:t>
      </w:r>
      <w:proofErr w:type="gramStart"/>
      <w:r>
        <w:t>los</w:t>
      </w:r>
      <w:proofErr w:type="gramEnd"/>
      <w:r>
        <w:t xml:space="preserve"> </w:t>
      </w:r>
      <w:r w:rsidR="002B713F">
        <w:t>principales modificaciones:</w:t>
      </w:r>
    </w:p>
    <w:p w:rsidR="00FC3695" w:rsidRDefault="00FC3695" w:rsidP="00CE459B">
      <w:pPr>
        <w:ind w:right="50"/>
        <w:jc w:val="both"/>
        <w:rPr>
          <w:lang w:val="es-AR"/>
        </w:rPr>
      </w:pPr>
    </w:p>
    <w:p w:rsidR="00FC3695" w:rsidRDefault="00FC3695" w:rsidP="00FC3695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 w:rsidRPr="00FC3695">
        <w:rPr>
          <w:lang w:val="es-AR"/>
        </w:rPr>
        <w:t xml:space="preserve">Se prorroga </w:t>
      </w:r>
      <w:r w:rsidRPr="00FC3695">
        <w:rPr>
          <w:b/>
          <w:u w:val="single"/>
          <w:lang w:val="es-AR"/>
        </w:rPr>
        <w:t>hasta el 1/12/2019</w:t>
      </w:r>
      <w:r w:rsidRPr="00FC3695">
        <w:rPr>
          <w:lang w:val="es-AR"/>
        </w:rPr>
        <w:t xml:space="preserve"> la obligatoriedad de utilizar el SIRE para los agentes d</w:t>
      </w:r>
      <w:r w:rsidR="002B713F">
        <w:rPr>
          <w:lang w:val="es-AR"/>
        </w:rPr>
        <w:t>e retención y/o percepción del I</w:t>
      </w:r>
      <w:r w:rsidRPr="00FC3695">
        <w:rPr>
          <w:lang w:val="es-AR"/>
        </w:rPr>
        <w:t xml:space="preserve">mpuesto al </w:t>
      </w:r>
      <w:r w:rsidR="002B713F">
        <w:rPr>
          <w:lang w:val="es-AR"/>
        </w:rPr>
        <w:t>Valor A</w:t>
      </w:r>
      <w:r w:rsidRPr="00FC3695">
        <w:rPr>
          <w:lang w:val="es-AR"/>
        </w:rPr>
        <w:t>gregado.</w:t>
      </w:r>
    </w:p>
    <w:p w:rsidR="003D2AA3" w:rsidRPr="00FC3695" w:rsidRDefault="003D2AA3" w:rsidP="003D2AA3">
      <w:pPr>
        <w:pStyle w:val="Prrafodelista"/>
        <w:ind w:right="50"/>
        <w:jc w:val="both"/>
        <w:rPr>
          <w:lang w:val="es-AR"/>
        </w:rPr>
      </w:pPr>
    </w:p>
    <w:p w:rsidR="00FC3695" w:rsidRPr="001E41D9" w:rsidRDefault="00FC3695" w:rsidP="002B713F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 w:rsidRPr="00FC3695">
        <w:rPr>
          <w:lang w:val="es-AR"/>
        </w:rPr>
        <w:t>Se habilita la posibilidad de emitir un “</w:t>
      </w:r>
      <w:r w:rsidRPr="00FC3695">
        <w:rPr>
          <w:u w:val="single"/>
          <w:lang w:val="es-AR"/>
        </w:rPr>
        <w:t>Certificado Global</w:t>
      </w:r>
      <w:r w:rsidR="002B713F">
        <w:rPr>
          <w:u w:val="single"/>
          <w:lang w:val="es-AR"/>
        </w:rPr>
        <w:t xml:space="preserve"> – F.2005</w:t>
      </w:r>
      <w:r w:rsidRPr="00FC3695">
        <w:rPr>
          <w:lang w:val="es-AR"/>
        </w:rPr>
        <w:t xml:space="preserve">” para las percepciones practicadas en el IVA correspondientes a un mismo régimen, sujeto </w:t>
      </w:r>
      <w:r w:rsidR="001E41D9">
        <w:rPr>
          <w:lang w:val="es-AR"/>
        </w:rPr>
        <w:t xml:space="preserve">pasible </w:t>
      </w:r>
      <w:r w:rsidRPr="00FC3695">
        <w:rPr>
          <w:lang w:val="es-AR"/>
        </w:rPr>
        <w:t xml:space="preserve">y período </w:t>
      </w:r>
      <w:r w:rsidR="001E41D9">
        <w:rPr>
          <w:lang w:val="es-AR"/>
        </w:rPr>
        <w:t>quincenal (</w:t>
      </w:r>
      <w:r w:rsidR="001E41D9">
        <w:rPr>
          <w:szCs w:val="24"/>
        </w:rPr>
        <w:t>desde el día 1 al 15 y desde el día 16 al último día de cada mes)</w:t>
      </w:r>
      <w:r w:rsidRPr="00FC3695">
        <w:rPr>
          <w:lang w:val="es-AR"/>
        </w:rPr>
        <w:t>.</w:t>
      </w:r>
      <w:r w:rsidR="001E41D9">
        <w:rPr>
          <w:lang w:val="es-AR"/>
        </w:rPr>
        <w:t xml:space="preserve"> </w:t>
      </w:r>
      <w:r w:rsidR="002B713F">
        <w:rPr>
          <w:lang w:val="es-AR"/>
        </w:rPr>
        <w:t>Dicho certificado será gener</w:t>
      </w:r>
      <w:r w:rsidR="001E41D9">
        <w:rPr>
          <w:lang w:val="es-AR"/>
        </w:rPr>
        <w:t xml:space="preserve">ado por el </w:t>
      </w:r>
      <w:r w:rsidR="001E41D9" w:rsidRPr="005D12C1">
        <w:rPr>
          <w:szCs w:val="24"/>
        </w:rPr>
        <w:t>“Sistema Integral de Re</w:t>
      </w:r>
      <w:r w:rsidR="001E41D9">
        <w:rPr>
          <w:szCs w:val="24"/>
        </w:rPr>
        <w:t>tenciones Electrónicas” (SIRE).</w:t>
      </w:r>
    </w:p>
    <w:p w:rsidR="003D2AA3" w:rsidRPr="003D2AA3" w:rsidRDefault="003D2AA3" w:rsidP="003D2AA3">
      <w:pPr>
        <w:ind w:right="50"/>
        <w:jc w:val="both"/>
        <w:rPr>
          <w:lang w:val="es-AR"/>
        </w:rPr>
      </w:pPr>
    </w:p>
    <w:p w:rsidR="00D77971" w:rsidRPr="00FC3695" w:rsidRDefault="00FC3695" w:rsidP="00FC3695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 w:rsidRPr="00FC3695">
        <w:rPr>
          <w:lang w:val="es-AR"/>
        </w:rPr>
        <w:t xml:space="preserve">Transitoriamente, se prevé que las percepciones del IVA practicadas </w:t>
      </w:r>
      <w:r w:rsidRPr="00FC3695">
        <w:rPr>
          <w:u w:val="single"/>
          <w:lang w:val="es-AR"/>
        </w:rPr>
        <w:t>desde diciembre de 2019 hasta mayo de 2020</w:t>
      </w:r>
      <w:r w:rsidR="002B713F" w:rsidRPr="002B713F">
        <w:rPr>
          <w:lang w:val="es-AR"/>
        </w:rPr>
        <w:t>, ambas inclusive,</w:t>
      </w:r>
      <w:r w:rsidRPr="001E41D9">
        <w:rPr>
          <w:lang w:val="es-AR"/>
        </w:rPr>
        <w:t xml:space="preserve"> </w:t>
      </w:r>
      <w:r w:rsidRPr="00FC3695">
        <w:rPr>
          <w:lang w:val="es-AR"/>
        </w:rPr>
        <w:t xml:space="preserve">sean ingresadas de manera </w:t>
      </w:r>
      <w:r w:rsidRPr="003D2AA3">
        <w:rPr>
          <w:b/>
          <w:lang w:val="es-AR"/>
        </w:rPr>
        <w:t>mensual</w:t>
      </w:r>
      <w:r w:rsidRPr="00FC3695">
        <w:rPr>
          <w:lang w:val="es-AR"/>
        </w:rPr>
        <w:t xml:space="preserve"> en lugar de quincenal.</w:t>
      </w:r>
    </w:p>
    <w:p w:rsidR="000807D6" w:rsidRDefault="000807D6" w:rsidP="00CE459B">
      <w:pPr>
        <w:ind w:right="50"/>
        <w:jc w:val="both"/>
        <w:rPr>
          <w:lang w:val="es-AR"/>
        </w:rPr>
      </w:pPr>
    </w:p>
    <w:p w:rsidR="00B01796" w:rsidRDefault="00B01796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>
        <w:t>30 de Septiembre</w:t>
      </w:r>
      <w:r w:rsidRPr="00B41797">
        <w:t xml:space="preserve"> del 2019.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42707E">
        <w:rPr>
          <w:lang w:val="es-AR"/>
        </w:rPr>
        <w:t>03</w:t>
      </w:r>
      <w:r>
        <w:rPr>
          <w:lang w:val="es-AR"/>
        </w:rPr>
        <w:t xml:space="preserve"> de </w:t>
      </w:r>
      <w:r w:rsidR="003D2AA3">
        <w:rPr>
          <w:lang w:val="es-AR"/>
        </w:rPr>
        <w:t>Octubre</w:t>
      </w:r>
      <w:r>
        <w:rPr>
          <w:lang w:val="es-AR"/>
        </w:rPr>
        <w:t xml:space="preserve"> de 2019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33" w:rsidRDefault="00A82A33" w:rsidP="00735D3C">
      <w:r>
        <w:separator/>
      </w:r>
    </w:p>
  </w:endnote>
  <w:endnote w:type="continuationSeparator" w:id="1">
    <w:p w:rsidR="00A82A33" w:rsidRDefault="00A82A33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33" w:rsidRDefault="00A82A33" w:rsidP="00735D3C">
      <w:r>
        <w:separator/>
      </w:r>
    </w:p>
  </w:footnote>
  <w:footnote w:type="continuationSeparator" w:id="1">
    <w:p w:rsidR="00A82A33" w:rsidRDefault="00A82A33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33" w:rsidRDefault="00A82A33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A82A33" w:rsidRDefault="00A82A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43788"/>
    <w:rsid w:val="00146662"/>
    <w:rsid w:val="00162477"/>
    <w:rsid w:val="001A5E1E"/>
    <w:rsid w:val="001B28FB"/>
    <w:rsid w:val="001E41D9"/>
    <w:rsid w:val="00220BBB"/>
    <w:rsid w:val="002224D5"/>
    <w:rsid w:val="00233DE8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A2F93"/>
    <w:rsid w:val="005B7CAC"/>
    <w:rsid w:val="005D12C1"/>
    <w:rsid w:val="005E3C71"/>
    <w:rsid w:val="00650289"/>
    <w:rsid w:val="00652EAD"/>
    <w:rsid w:val="00687D5C"/>
    <w:rsid w:val="006C47D1"/>
    <w:rsid w:val="00714BE5"/>
    <w:rsid w:val="00725F46"/>
    <w:rsid w:val="00735D3C"/>
    <w:rsid w:val="00741DE0"/>
    <w:rsid w:val="00756AD4"/>
    <w:rsid w:val="00757439"/>
    <w:rsid w:val="0078205D"/>
    <w:rsid w:val="007C03CD"/>
    <w:rsid w:val="007D21E7"/>
    <w:rsid w:val="007D4997"/>
    <w:rsid w:val="007E1572"/>
    <w:rsid w:val="007E2EE1"/>
    <w:rsid w:val="007E7EA8"/>
    <w:rsid w:val="008110EC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F2287"/>
    <w:rsid w:val="0092675E"/>
    <w:rsid w:val="0093202F"/>
    <w:rsid w:val="00945CBE"/>
    <w:rsid w:val="00960C02"/>
    <w:rsid w:val="009724B5"/>
    <w:rsid w:val="00975183"/>
    <w:rsid w:val="00990C14"/>
    <w:rsid w:val="009B088B"/>
    <w:rsid w:val="009B3327"/>
    <w:rsid w:val="009D0541"/>
    <w:rsid w:val="00A10DEF"/>
    <w:rsid w:val="00A15CA4"/>
    <w:rsid w:val="00A345F3"/>
    <w:rsid w:val="00A61D00"/>
    <w:rsid w:val="00A82A33"/>
    <w:rsid w:val="00A92D07"/>
    <w:rsid w:val="00AB2E77"/>
    <w:rsid w:val="00AB3503"/>
    <w:rsid w:val="00AE03B7"/>
    <w:rsid w:val="00B01796"/>
    <w:rsid w:val="00B14909"/>
    <w:rsid w:val="00B1530A"/>
    <w:rsid w:val="00B262E9"/>
    <w:rsid w:val="00B653A0"/>
    <w:rsid w:val="00B87878"/>
    <w:rsid w:val="00BB3BC6"/>
    <w:rsid w:val="00BC3ADD"/>
    <w:rsid w:val="00BD54BA"/>
    <w:rsid w:val="00BF55C9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C379A"/>
    <w:rsid w:val="00DF3795"/>
    <w:rsid w:val="00E0089B"/>
    <w:rsid w:val="00E02442"/>
    <w:rsid w:val="00E16F95"/>
    <w:rsid w:val="00E176FD"/>
    <w:rsid w:val="00EB1A1B"/>
    <w:rsid w:val="00EB2B6D"/>
    <w:rsid w:val="00EC159E"/>
    <w:rsid w:val="00EE20AC"/>
    <w:rsid w:val="00EF110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528B-0585-4428-815B-5893EF55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43</cp:revision>
  <cp:lastPrinted>2019-10-02T15:32:00Z</cp:lastPrinted>
  <dcterms:created xsi:type="dcterms:W3CDTF">2018-08-07T13:45:00Z</dcterms:created>
  <dcterms:modified xsi:type="dcterms:W3CDTF">2019-10-03T11:52:00Z</dcterms:modified>
</cp:coreProperties>
</file>