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72" w:rsidRPr="00DE7F2C" w:rsidRDefault="00534EAC">
      <w:pPr>
        <w:spacing w:after="0" w:line="240" w:lineRule="auto"/>
        <w:ind w:right="1043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561543" w:rsidRPr="00DE7F2C">
        <w:rPr>
          <w:rFonts w:ascii="Times New Roman" w:eastAsia="Times New Roman" w:hAnsi="Times New Roman" w:cs="Times New Roman"/>
          <w:b/>
          <w:sz w:val="28"/>
          <w:u w:val="single"/>
        </w:rPr>
        <w:t>CIRCULAR IMPOSITIVA NRO. 9</w:t>
      </w:r>
      <w:r w:rsidR="00B41797">
        <w:rPr>
          <w:rFonts w:ascii="Times New Roman" w:eastAsia="Times New Roman" w:hAnsi="Times New Roman" w:cs="Times New Roman"/>
          <w:b/>
          <w:sz w:val="28"/>
          <w:u w:val="single"/>
        </w:rPr>
        <w:t>91</w:t>
      </w:r>
    </w:p>
    <w:p w:rsidR="00632472" w:rsidRPr="00DE7F2C" w:rsidRDefault="0063247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Pr="00DE7F2C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Pr="00DE7F2C" w:rsidRDefault="0056154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E7F2C">
        <w:rPr>
          <w:rFonts w:ascii="Times New Roman" w:eastAsia="Times New Roman" w:hAnsi="Times New Roman" w:cs="Times New Roman"/>
          <w:b/>
          <w:i/>
          <w:sz w:val="24"/>
        </w:rPr>
        <w:t>Resolución General N° 4</w:t>
      </w:r>
      <w:r w:rsidR="00DE7F2C" w:rsidRPr="00DE7F2C">
        <w:rPr>
          <w:rFonts w:ascii="Times New Roman" w:eastAsia="Times New Roman" w:hAnsi="Times New Roman" w:cs="Times New Roman"/>
          <w:b/>
          <w:i/>
          <w:sz w:val="24"/>
        </w:rPr>
        <w:t>5</w:t>
      </w:r>
      <w:r w:rsidR="00AA1830">
        <w:rPr>
          <w:rFonts w:ascii="Times New Roman" w:eastAsia="Times New Roman" w:hAnsi="Times New Roman" w:cs="Times New Roman"/>
          <w:b/>
          <w:i/>
          <w:sz w:val="24"/>
        </w:rPr>
        <w:t>4</w:t>
      </w:r>
      <w:r w:rsidR="00DE7F2C" w:rsidRPr="00DE7F2C">
        <w:rPr>
          <w:rFonts w:ascii="Times New Roman" w:eastAsia="Times New Roman" w:hAnsi="Times New Roman" w:cs="Times New Roman"/>
          <w:b/>
          <w:i/>
          <w:sz w:val="24"/>
        </w:rPr>
        <w:t xml:space="preserve">1 </w:t>
      </w:r>
      <w:r w:rsidRPr="00DE7F2C">
        <w:rPr>
          <w:rFonts w:ascii="Times New Roman" w:eastAsia="Times New Roman" w:hAnsi="Times New Roman" w:cs="Times New Roman"/>
          <w:b/>
          <w:i/>
          <w:sz w:val="24"/>
        </w:rPr>
        <w:t>AFIP</w:t>
      </w:r>
    </w:p>
    <w:p w:rsidR="00632472" w:rsidRPr="00DE7F2C" w:rsidRDefault="00DE7F2C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E7F2C">
        <w:rPr>
          <w:rFonts w:ascii="Times New Roman" w:eastAsia="Times New Roman" w:hAnsi="Times New Roman" w:cs="Times New Roman"/>
          <w:b/>
          <w:i/>
          <w:sz w:val="24"/>
        </w:rPr>
        <w:t>Fecha de Norma: 31/07</w:t>
      </w:r>
      <w:r w:rsidR="00561543" w:rsidRPr="00DE7F2C">
        <w:rPr>
          <w:rFonts w:ascii="Times New Roman" w:eastAsia="Times New Roman" w:hAnsi="Times New Roman" w:cs="Times New Roman"/>
          <w:b/>
          <w:i/>
          <w:sz w:val="24"/>
        </w:rPr>
        <w:t xml:space="preserve">//2019  </w:t>
      </w:r>
    </w:p>
    <w:p w:rsidR="00632472" w:rsidRDefault="0056154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E7F2C">
        <w:rPr>
          <w:rFonts w:ascii="Times New Roman" w:eastAsia="Times New Roman" w:hAnsi="Times New Roman" w:cs="Times New Roman"/>
          <w:b/>
          <w:i/>
          <w:sz w:val="24"/>
        </w:rPr>
        <w:t>Boletín Oficial 0</w:t>
      </w:r>
      <w:r w:rsidR="00DE7F2C" w:rsidRPr="00DE7F2C">
        <w:rPr>
          <w:rFonts w:ascii="Times New Roman" w:eastAsia="Times New Roman" w:hAnsi="Times New Roman" w:cs="Times New Roman"/>
          <w:b/>
          <w:i/>
          <w:sz w:val="24"/>
        </w:rPr>
        <w:t>1</w:t>
      </w:r>
      <w:r w:rsidRPr="00DE7F2C">
        <w:rPr>
          <w:rFonts w:ascii="Times New Roman" w:eastAsia="Times New Roman" w:hAnsi="Times New Roman" w:cs="Times New Roman"/>
          <w:b/>
          <w:i/>
          <w:sz w:val="24"/>
        </w:rPr>
        <w:t>/0</w:t>
      </w:r>
      <w:r w:rsidR="00DE7F2C" w:rsidRPr="00DE7F2C">
        <w:rPr>
          <w:rFonts w:ascii="Times New Roman" w:eastAsia="Times New Roman" w:hAnsi="Times New Roman" w:cs="Times New Roman"/>
          <w:b/>
          <w:i/>
          <w:sz w:val="24"/>
        </w:rPr>
        <w:t>8</w:t>
      </w:r>
      <w:r w:rsidRPr="00DE7F2C">
        <w:rPr>
          <w:rFonts w:ascii="Times New Roman" w:eastAsia="Times New Roman" w:hAnsi="Times New Roman" w:cs="Times New Roman"/>
          <w:b/>
          <w:i/>
          <w:sz w:val="24"/>
        </w:rPr>
        <w:t>/2019</w:t>
      </w:r>
    </w:p>
    <w:p w:rsidR="00632472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Default="0063247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Default="0063247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Default="00561543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Régimen de facilidades de pago de hasta 60 cuotas. </w:t>
      </w:r>
      <w:r w:rsidR="00F10DCE">
        <w:rPr>
          <w:rFonts w:ascii="Times New Roman" w:eastAsia="Times New Roman" w:hAnsi="Times New Roman" w:cs="Times New Roman"/>
          <w:b/>
          <w:sz w:val="24"/>
          <w:u w:val="single"/>
        </w:rPr>
        <w:t xml:space="preserve">Posibilidad de ingresar deuda vencida hasta el 30/04/2019 y obligaciones de planes caducos </w:t>
      </w:r>
      <w:r w:rsidR="000E3D50">
        <w:rPr>
          <w:rFonts w:ascii="Times New Roman" w:eastAsia="Times New Roman" w:hAnsi="Times New Roman" w:cs="Times New Roman"/>
          <w:b/>
          <w:sz w:val="24"/>
          <w:u w:val="single"/>
        </w:rPr>
        <w:t>durante</w:t>
      </w:r>
      <w:r w:rsidR="00F10DCE">
        <w:rPr>
          <w:rFonts w:ascii="Times New Roman" w:eastAsia="Times New Roman" w:hAnsi="Times New Roman" w:cs="Times New Roman"/>
          <w:b/>
          <w:sz w:val="24"/>
          <w:u w:val="single"/>
        </w:rPr>
        <w:t xml:space="preserve"> Julio 2019 o rechazados a partir del 01/07/2019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:rsidR="00632472" w:rsidRDefault="0063247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A66EEA" w:rsidRDefault="00A66EE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32472" w:rsidRDefault="00561543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F10DCE">
        <w:rPr>
          <w:rFonts w:ascii="Times New Roman" w:eastAsia="Times New Roman" w:hAnsi="Times New Roman" w:cs="Times New Roman"/>
          <w:sz w:val="24"/>
        </w:rPr>
        <w:t xml:space="preserve">A través de la Resolución General </w:t>
      </w:r>
      <w:r w:rsidR="0091242A">
        <w:rPr>
          <w:rFonts w:ascii="Times New Roman" w:eastAsia="Times New Roman" w:hAnsi="Times New Roman" w:cs="Times New Roman"/>
          <w:sz w:val="24"/>
        </w:rPr>
        <w:t xml:space="preserve">Nº </w:t>
      </w:r>
      <w:r w:rsidRPr="00F10DCE">
        <w:rPr>
          <w:rFonts w:ascii="Times New Roman" w:eastAsia="Times New Roman" w:hAnsi="Times New Roman" w:cs="Times New Roman"/>
          <w:sz w:val="24"/>
        </w:rPr>
        <w:t>4</w:t>
      </w:r>
      <w:r w:rsidR="00DE7F2C" w:rsidRPr="00F10DCE">
        <w:rPr>
          <w:rFonts w:ascii="Times New Roman" w:eastAsia="Times New Roman" w:hAnsi="Times New Roman" w:cs="Times New Roman"/>
          <w:sz w:val="24"/>
        </w:rPr>
        <w:t>5</w:t>
      </w:r>
      <w:r w:rsidR="00AA1830">
        <w:rPr>
          <w:rFonts w:ascii="Times New Roman" w:eastAsia="Times New Roman" w:hAnsi="Times New Roman" w:cs="Times New Roman"/>
          <w:sz w:val="24"/>
        </w:rPr>
        <w:t>4</w:t>
      </w:r>
      <w:r w:rsidR="00DE7F2C" w:rsidRPr="00F10DCE">
        <w:rPr>
          <w:rFonts w:ascii="Times New Roman" w:eastAsia="Times New Roman" w:hAnsi="Times New Roman" w:cs="Times New Roman"/>
          <w:sz w:val="24"/>
        </w:rPr>
        <w:t>1</w:t>
      </w:r>
      <w:r w:rsidRPr="00F10DCE">
        <w:rPr>
          <w:rFonts w:ascii="Times New Roman" w:eastAsia="Times New Roman" w:hAnsi="Times New Roman" w:cs="Times New Roman"/>
          <w:sz w:val="24"/>
        </w:rPr>
        <w:t xml:space="preserve">, </w:t>
      </w:r>
      <w:r w:rsidR="0091242A" w:rsidRPr="0091242A">
        <w:rPr>
          <w:rFonts w:ascii="Times New Roman" w:eastAsia="Times New Roman" w:hAnsi="Times New Roman" w:cs="Times New Roman"/>
          <w:sz w:val="24"/>
        </w:rPr>
        <w:t>la Administración Federal de Ingresos Públicos</w:t>
      </w:r>
      <w:r w:rsidRPr="00F10DCE">
        <w:rPr>
          <w:rFonts w:ascii="Times New Roman" w:eastAsia="Times New Roman" w:hAnsi="Times New Roman" w:cs="Times New Roman"/>
          <w:sz w:val="24"/>
        </w:rPr>
        <w:t xml:space="preserve"> </w:t>
      </w:r>
      <w:r w:rsidR="0091242A">
        <w:rPr>
          <w:rFonts w:ascii="Times New Roman" w:eastAsia="Times New Roman" w:hAnsi="Times New Roman" w:cs="Times New Roman"/>
          <w:sz w:val="24"/>
        </w:rPr>
        <w:t>amplia el régimen de facilidades de pago de hasta 60 cuotas dispuesto por</w:t>
      </w:r>
      <w:r w:rsidR="00DE7F2C" w:rsidRPr="00F10DCE">
        <w:rPr>
          <w:rFonts w:ascii="Times New Roman" w:eastAsia="Times New Roman" w:hAnsi="Times New Roman" w:cs="Times New Roman"/>
          <w:sz w:val="24"/>
        </w:rPr>
        <w:t xml:space="preserve"> la Resolución General </w:t>
      </w:r>
      <w:r w:rsidR="0091242A">
        <w:rPr>
          <w:rFonts w:ascii="Times New Roman" w:eastAsia="Times New Roman" w:hAnsi="Times New Roman" w:cs="Times New Roman"/>
          <w:sz w:val="24"/>
        </w:rPr>
        <w:t>Nº 4477 (</w:t>
      </w:r>
      <w:r w:rsidR="00740E97">
        <w:rPr>
          <w:rFonts w:ascii="Times New Roman" w:eastAsia="Times New Roman" w:hAnsi="Times New Roman" w:cs="Times New Roman"/>
          <w:sz w:val="24"/>
        </w:rPr>
        <w:t xml:space="preserve">Ver </w:t>
      </w:r>
      <w:r w:rsidR="0091242A">
        <w:rPr>
          <w:rFonts w:ascii="Times New Roman" w:eastAsia="Times New Roman" w:hAnsi="Times New Roman" w:cs="Times New Roman"/>
          <w:sz w:val="24"/>
        </w:rPr>
        <w:t>Circular</w:t>
      </w:r>
      <w:r w:rsidR="00740E97">
        <w:rPr>
          <w:rFonts w:ascii="Times New Roman" w:eastAsia="Times New Roman" w:hAnsi="Times New Roman" w:cs="Times New Roman"/>
          <w:sz w:val="24"/>
        </w:rPr>
        <w:t xml:space="preserve"> Impositiva N°</w:t>
      </w:r>
      <w:r w:rsidR="0091242A">
        <w:rPr>
          <w:rFonts w:ascii="Times New Roman" w:eastAsia="Times New Roman" w:hAnsi="Times New Roman" w:cs="Times New Roman"/>
          <w:sz w:val="24"/>
        </w:rPr>
        <w:t xml:space="preserve"> 979</w:t>
      </w:r>
      <w:r w:rsidR="0005228C">
        <w:rPr>
          <w:rFonts w:ascii="Times New Roman" w:eastAsia="Times New Roman" w:hAnsi="Times New Roman" w:cs="Times New Roman"/>
          <w:sz w:val="24"/>
        </w:rPr>
        <w:t>)</w:t>
      </w:r>
      <w:r w:rsidR="00A039E9">
        <w:rPr>
          <w:rFonts w:ascii="Times New Roman" w:eastAsia="Times New Roman" w:hAnsi="Times New Roman" w:cs="Times New Roman"/>
          <w:sz w:val="24"/>
        </w:rPr>
        <w:t>.</w:t>
      </w:r>
    </w:p>
    <w:p w:rsidR="00740E97" w:rsidRDefault="00740E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E42D69" w:rsidRDefault="00E42D6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6B4439" w:rsidRDefault="0091242A" w:rsidP="0091242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91242A">
        <w:rPr>
          <w:rFonts w:ascii="Times New Roman" w:eastAsia="Times New Roman" w:hAnsi="Times New Roman" w:cs="Times New Roman"/>
          <w:sz w:val="24"/>
        </w:rPr>
        <w:t>Destacamos a continuación las principales modificaciones</w:t>
      </w:r>
      <w:r w:rsidR="00740E97">
        <w:rPr>
          <w:rFonts w:ascii="Times New Roman" w:eastAsia="Times New Roman" w:hAnsi="Times New Roman" w:cs="Times New Roman"/>
          <w:sz w:val="24"/>
        </w:rPr>
        <w:t xml:space="preserve"> introducidas</w:t>
      </w:r>
      <w:r w:rsidRPr="0091242A">
        <w:rPr>
          <w:rFonts w:ascii="Times New Roman" w:eastAsia="Times New Roman" w:hAnsi="Times New Roman" w:cs="Times New Roman"/>
          <w:sz w:val="24"/>
        </w:rPr>
        <w:t>:</w:t>
      </w:r>
    </w:p>
    <w:p w:rsidR="003757E8" w:rsidRDefault="003757E8" w:rsidP="0091242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3757E8" w:rsidRPr="0091242A" w:rsidRDefault="003757E8" w:rsidP="0091242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3757E8" w:rsidRPr="003757E8" w:rsidRDefault="003757E8" w:rsidP="003757E8">
      <w:pPr>
        <w:pStyle w:val="Prrafodelista"/>
        <w:numPr>
          <w:ilvl w:val="0"/>
          <w:numId w:val="37"/>
        </w:numPr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Pr="003757E8">
        <w:rPr>
          <w:rFonts w:ascii="Times New Roman" w:eastAsia="Times New Roman" w:hAnsi="Times New Roman" w:cs="Times New Roman"/>
          <w:sz w:val="24"/>
        </w:rPr>
        <w:t>e establece la posibilidad de incluir las deudas vencidas hasta el 30/04/2019 en las mismas condiciones previstas originalmente para las deudas vencidas al 31</w:t>
      </w:r>
      <w:r w:rsidR="00CA7A94">
        <w:rPr>
          <w:rFonts w:ascii="Times New Roman" w:eastAsia="Times New Roman" w:hAnsi="Times New Roman" w:cs="Times New Roman"/>
          <w:sz w:val="24"/>
        </w:rPr>
        <w:t>/</w:t>
      </w:r>
      <w:r w:rsidRPr="003757E8">
        <w:rPr>
          <w:rFonts w:ascii="Times New Roman" w:eastAsia="Times New Roman" w:hAnsi="Times New Roman" w:cs="Times New Roman"/>
          <w:sz w:val="24"/>
        </w:rPr>
        <w:t>01/2019.</w:t>
      </w:r>
    </w:p>
    <w:p w:rsidR="003757E8" w:rsidRDefault="003757E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F87298" w:rsidRDefault="00C238E2" w:rsidP="00B41797">
      <w:pPr>
        <w:pStyle w:val="Prrafodelista"/>
        <w:numPr>
          <w:ilvl w:val="0"/>
          <w:numId w:val="36"/>
        </w:numPr>
        <w:tabs>
          <w:tab w:val="left" w:pos="993"/>
        </w:tabs>
        <w:spacing w:after="0" w:line="240" w:lineRule="auto"/>
        <w:ind w:left="426" w:right="-568" w:hanging="426"/>
        <w:jc w:val="both"/>
        <w:rPr>
          <w:rFonts w:ascii="Times New Roman" w:eastAsia="Times New Roman" w:hAnsi="Times New Roman" w:cs="Times New Roman"/>
          <w:sz w:val="24"/>
        </w:rPr>
      </w:pPr>
      <w:r w:rsidRPr="00AF287C">
        <w:rPr>
          <w:rFonts w:ascii="Times New Roman" w:eastAsia="Times New Roman" w:hAnsi="Times New Roman" w:cs="Times New Roman"/>
          <w:sz w:val="24"/>
        </w:rPr>
        <w:t>A los con</w:t>
      </w:r>
      <w:r w:rsidR="009B186B" w:rsidRPr="00AF287C">
        <w:rPr>
          <w:rFonts w:ascii="Times New Roman" w:eastAsia="Times New Roman" w:hAnsi="Times New Roman" w:cs="Times New Roman"/>
          <w:sz w:val="24"/>
        </w:rPr>
        <w:t>ceptos alcanzados se incorporan las o</w:t>
      </w:r>
      <w:r w:rsidR="009710B7" w:rsidRPr="00AF287C">
        <w:rPr>
          <w:rFonts w:ascii="Times New Roman" w:eastAsia="Times New Roman" w:hAnsi="Times New Roman" w:cs="Times New Roman"/>
          <w:sz w:val="24"/>
        </w:rPr>
        <w:t xml:space="preserve">bligaciones incluidas en planes de facilidades de pago -generales, sectoriales, regionales o especiales- cuya caducidad haya operado durante el mes de julio de 2019, o hayan sido rechazados a partir del 1 de </w:t>
      </w:r>
      <w:r w:rsidR="005D786A" w:rsidRPr="00AF287C">
        <w:rPr>
          <w:rFonts w:ascii="Times New Roman" w:eastAsia="Times New Roman" w:hAnsi="Times New Roman" w:cs="Times New Roman"/>
          <w:sz w:val="24"/>
        </w:rPr>
        <w:t>J</w:t>
      </w:r>
      <w:r w:rsidR="009710B7" w:rsidRPr="00AF287C">
        <w:rPr>
          <w:rFonts w:ascii="Times New Roman" w:eastAsia="Times New Roman" w:hAnsi="Times New Roman" w:cs="Times New Roman"/>
          <w:sz w:val="24"/>
        </w:rPr>
        <w:t>ulio de 2019.</w:t>
      </w:r>
      <w:r w:rsidR="00AF287C" w:rsidRPr="00AF287C">
        <w:rPr>
          <w:rFonts w:ascii="Times New Roman" w:eastAsia="Times New Roman" w:hAnsi="Times New Roman" w:cs="Times New Roman"/>
          <w:sz w:val="24"/>
        </w:rPr>
        <w:t xml:space="preserve"> En estos casos, s</w:t>
      </w:r>
      <w:r w:rsidR="00F87298" w:rsidRPr="00AF287C">
        <w:rPr>
          <w:rFonts w:ascii="Times New Roman" w:eastAsia="Times New Roman" w:hAnsi="Times New Roman" w:cs="Times New Roman"/>
          <w:sz w:val="24"/>
        </w:rPr>
        <w:t xml:space="preserve">e añade como condición a los planes de facilidad de pago, que tendrán un pago a cuenta equivalente al </w:t>
      </w:r>
      <w:r w:rsidR="009710B7" w:rsidRPr="00AF287C">
        <w:rPr>
          <w:rFonts w:ascii="Times New Roman" w:eastAsia="Times New Roman" w:hAnsi="Times New Roman" w:cs="Times New Roman"/>
          <w:sz w:val="24"/>
        </w:rPr>
        <w:t>5% de la deuda consolidada</w:t>
      </w:r>
      <w:r w:rsidR="00AF287C">
        <w:rPr>
          <w:rFonts w:ascii="Times New Roman" w:eastAsia="Times New Roman" w:hAnsi="Times New Roman" w:cs="Times New Roman"/>
          <w:sz w:val="24"/>
        </w:rPr>
        <w:t xml:space="preserve">. </w:t>
      </w:r>
    </w:p>
    <w:p w:rsidR="00EB5AE9" w:rsidRDefault="00EB5AE9" w:rsidP="00EB5AE9">
      <w:pPr>
        <w:pStyle w:val="Prrafodelista"/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EB5AE9" w:rsidRDefault="00EB5AE9" w:rsidP="00EB5AE9">
      <w:pPr>
        <w:pStyle w:val="Prrafodelista"/>
        <w:numPr>
          <w:ilvl w:val="0"/>
          <w:numId w:val="36"/>
        </w:numPr>
        <w:spacing w:after="0" w:line="240" w:lineRule="auto"/>
        <w:ind w:left="426" w:right="-568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</w:t>
      </w:r>
      <w:r w:rsidRPr="00B41797">
        <w:rPr>
          <w:rFonts w:ascii="Times New Roman" w:eastAsia="Times New Roman" w:hAnsi="Times New Roman" w:cs="Times New Roman"/>
          <w:sz w:val="24"/>
        </w:rPr>
        <w:t xml:space="preserve"> informa que se encontrará disponible en el sistema “Mis facilidades”</w:t>
      </w:r>
      <w:r w:rsidR="00CA7A94">
        <w:rPr>
          <w:rFonts w:ascii="Times New Roman" w:eastAsia="Times New Roman" w:hAnsi="Times New Roman" w:cs="Times New Roman"/>
          <w:sz w:val="24"/>
        </w:rPr>
        <w:t xml:space="preserve"> del sitio web de la AFIP</w:t>
      </w:r>
      <w:r w:rsidRPr="00B41797">
        <w:rPr>
          <w:rFonts w:ascii="Times New Roman" w:eastAsia="Times New Roman" w:hAnsi="Times New Roman" w:cs="Times New Roman"/>
          <w:sz w:val="24"/>
        </w:rPr>
        <w:t xml:space="preserve"> a partir del día 12 de Agosto de 2019, la adhesión a los planes de facilidades de pago para cancelar deudas cuya caducidad </w:t>
      </w:r>
      <w:r>
        <w:rPr>
          <w:rFonts w:ascii="Times New Roman" w:eastAsia="Times New Roman" w:hAnsi="Times New Roman" w:cs="Times New Roman"/>
          <w:sz w:val="24"/>
        </w:rPr>
        <w:t>haya operado durante el mes de J</w:t>
      </w:r>
      <w:r w:rsidRPr="00B41797">
        <w:rPr>
          <w:rFonts w:ascii="Times New Roman" w:eastAsia="Times New Roman" w:hAnsi="Times New Roman" w:cs="Times New Roman"/>
          <w:sz w:val="24"/>
        </w:rPr>
        <w:t>ulio de 2019, o hayan sido rechazados a partir del 1 de Julio de 2019.</w:t>
      </w:r>
    </w:p>
    <w:p w:rsidR="00AF287C" w:rsidRDefault="00AF287C" w:rsidP="00AF287C">
      <w:pPr>
        <w:pStyle w:val="Prrafodelista"/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AF287C" w:rsidRDefault="00AF287C" w:rsidP="00AF287C">
      <w:pPr>
        <w:pStyle w:val="Prrafodelista"/>
        <w:numPr>
          <w:ilvl w:val="0"/>
          <w:numId w:val="36"/>
        </w:numPr>
        <w:spacing w:after="0" w:line="240" w:lineRule="auto"/>
        <w:ind w:left="426" w:right="-568" w:hanging="426"/>
        <w:jc w:val="both"/>
        <w:rPr>
          <w:rFonts w:ascii="Times New Roman" w:eastAsia="Times New Roman" w:hAnsi="Times New Roman" w:cs="Times New Roman"/>
          <w:sz w:val="24"/>
        </w:rPr>
      </w:pPr>
      <w:r w:rsidRPr="00B41797">
        <w:rPr>
          <w:rFonts w:ascii="Times New Roman" w:eastAsia="Times New Roman" w:hAnsi="Times New Roman" w:cs="Times New Roman"/>
          <w:sz w:val="24"/>
        </w:rPr>
        <w:t>Se modifica el plazo de adhesión a los planes de facilidades de pago para cancelar deudas vencidas al 3</w:t>
      </w:r>
      <w:r>
        <w:rPr>
          <w:rFonts w:ascii="Times New Roman" w:eastAsia="Times New Roman" w:hAnsi="Times New Roman" w:cs="Times New Roman"/>
          <w:sz w:val="24"/>
        </w:rPr>
        <w:t>0</w:t>
      </w:r>
      <w:r w:rsidRPr="00B41797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04</w:t>
      </w:r>
      <w:r w:rsidRPr="00B41797">
        <w:rPr>
          <w:rFonts w:ascii="Times New Roman" w:eastAsia="Times New Roman" w:hAnsi="Times New Roman" w:cs="Times New Roman"/>
          <w:sz w:val="24"/>
        </w:rPr>
        <w:t>/2019, inclusive desde el 15 de mayo de 2019 hasta el 31 de agosto de 2019, ambos inclusive.</w:t>
      </w:r>
    </w:p>
    <w:p w:rsidR="00AF287C" w:rsidRPr="00CA7A94" w:rsidRDefault="00AF287C" w:rsidP="00CA7A94">
      <w:pPr>
        <w:pStyle w:val="Prrafodelista"/>
        <w:rPr>
          <w:rFonts w:ascii="Times New Roman" w:eastAsia="Times New Roman" w:hAnsi="Times New Roman" w:cs="Times New Roman"/>
          <w:sz w:val="24"/>
        </w:rPr>
      </w:pPr>
    </w:p>
    <w:p w:rsidR="00CA7A94" w:rsidRPr="00B41797" w:rsidRDefault="00CA7A94" w:rsidP="00CA7A94">
      <w:pPr>
        <w:pStyle w:val="Prrafodelista"/>
        <w:numPr>
          <w:ilvl w:val="0"/>
          <w:numId w:val="36"/>
        </w:numPr>
        <w:spacing w:after="0" w:line="240" w:lineRule="auto"/>
        <w:ind w:left="426" w:right="-568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Quedan excluidos </w:t>
      </w:r>
      <w:r w:rsidR="00AF287C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el presente régimen las obligaciones regularizadas en planes de facilidades de pago cuya caducidad haya operado a partir del 01 de Agosto de 2019. </w:t>
      </w:r>
    </w:p>
    <w:p w:rsidR="00EB5AE9" w:rsidRDefault="00EB5AE9" w:rsidP="00EB5AE9">
      <w:pPr>
        <w:pStyle w:val="Prrafodelista"/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EB5AE9" w:rsidRPr="00B41797" w:rsidRDefault="00EB5AE9" w:rsidP="00EB5AE9">
      <w:pPr>
        <w:pStyle w:val="Prrafodelista"/>
        <w:numPr>
          <w:ilvl w:val="0"/>
          <w:numId w:val="36"/>
        </w:numPr>
        <w:tabs>
          <w:tab w:val="left" w:pos="9356"/>
        </w:tabs>
        <w:spacing w:after="0" w:line="240" w:lineRule="auto"/>
        <w:ind w:left="426" w:right="-568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sustituye</w:t>
      </w:r>
      <w:r w:rsidRPr="00B41797">
        <w:rPr>
          <w:rFonts w:ascii="Times New Roman" w:eastAsia="Times New Roman" w:hAnsi="Times New Roman" w:cs="Times New Roman"/>
          <w:sz w:val="24"/>
        </w:rPr>
        <w:t xml:space="preserve"> el Anexo I por el Anexo</w:t>
      </w:r>
      <w:r>
        <w:rPr>
          <w:rFonts w:ascii="Times New Roman" w:eastAsia="Times New Roman" w:hAnsi="Times New Roman" w:cs="Times New Roman"/>
          <w:sz w:val="24"/>
        </w:rPr>
        <w:t xml:space="preserve"> que se encuentra</w:t>
      </w:r>
      <w:r w:rsidRPr="00B41797">
        <w:rPr>
          <w:rFonts w:ascii="Times New Roman" w:eastAsia="Times New Roman" w:hAnsi="Times New Roman" w:cs="Times New Roman"/>
          <w:sz w:val="24"/>
        </w:rPr>
        <w:t xml:space="preserve"> al pie de </w:t>
      </w:r>
      <w:r w:rsidR="00AF287C">
        <w:rPr>
          <w:rFonts w:ascii="Times New Roman" w:eastAsia="Times New Roman" w:hAnsi="Times New Roman" w:cs="Times New Roman"/>
          <w:sz w:val="24"/>
        </w:rPr>
        <w:t>la presente</w:t>
      </w:r>
      <w:r w:rsidRPr="00B41797">
        <w:rPr>
          <w:rFonts w:ascii="Times New Roman" w:eastAsia="Times New Roman" w:hAnsi="Times New Roman" w:cs="Times New Roman"/>
          <w:sz w:val="24"/>
        </w:rPr>
        <w:t xml:space="preserve"> circular</w:t>
      </w:r>
      <w:r>
        <w:rPr>
          <w:rFonts w:ascii="Times New Roman" w:eastAsia="Times New Roman" w:hAnsi="Times New Roman" w:cs="Times New Roman"/>
          <w:sz w:val="24"/>
        </w:rPr>
        <w:t xml:space="preserve"> (Condiciones del Plan de Facilidades de Pago</w:t>
      </w:r>
      <w:r w:rsidR="00AF287C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B5AE9" w:rsidRPr="00B41797" w:rsidRDefault="00EB5AE9" w:rsidP="00EB5AE9">
      <w:pPr>
        <w:pStyle w:val="Prrafodelista"/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AF287C" w:rsidRDefault="00AF287C" w:rsidP="00B417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238E2" w:rsidRPr="00B41797" w:rsidRDefault="00DA7F03" w:rsidP="00B417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V</w:t>
      </w:r>
      <w:r w:rsidR="00C238E2" w:rsidRPr="00B41797">
        <w:rPr>
          <w:rFonts w:ascii="Times New Roman" w:eastAsia="Times New Roman" w:hAnsi="Times New Roman" w:cs="Times New Roman"/>
          <w:b/>
          <w:sz w:val="24"/>
          <w:u w:val="single"/>
        </w:rPr>
        <w:t>igencia</w:t>
      </w:r>
    </w:p>
    <w:p w:rsidR="00C238E2" w:rsidRDefault="00C238E2" w:rsidP="00C238E2">
      <w:pPr>
        <w:pStyle w:val="Prrafodelista"/>
        <w:spacing w:after="0" w:line="240" w:lineRule="auto"/>
        <w:ind w:left="709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6A7333" w:rsidRPr="00B41797" w:rsidRDefault="006A7333" w:rsidP="00B41797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  <w:r w:rsidRPr="00B41797">
        <w:rPr>
          <w:rFonts w:ascii="Times New Roman" w:eastAsia="Times New Roman" w:hAnsi="Times New Roman" w:cs="Times New Roman"/>
          <w:sz w:val="24"/>
        </w:rPr>
        <w:t>Las disposiciones de la presente resultarán de aplicación a partir del 01 de Agosto del 2019</w:t>
      </w:r>
      <w:r w:rsidR="0091242A" w:rsidRPr="00B41797">
        <w:rPr>
          <w:rFonts w:ascii="Times New Roman" w:eastAsia="Times New Roman" w:hAnsi="Times New Roman" w:cs="Times New Roman"/>
          <w:sz w:val="24"/>
        </w:rPr>
        <w:t>.</w:t>
      </w:r>
    </w:p>
    <w:p w:rsidR="006A7333" w:rsidRPr="00A039E9" w:rsidRDefault="006A7333" w:rsidP="006A7333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6A7333" w:rsidRPr="00A039E9" w:rsidRDefault="006A7333" w:rsidP="004B379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B3791" w:rsidRPr="00A039E9" w:rsidRDefault="004B3791" w:rsidP="004B379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320569" w:rsidRDefault="00320569">
      <w:pPr>
        <w:spacing w:after="0" w:line="240" w:lineRule="auto"/>
        <w:ind w:left="142" w:right="-568"/>
        <w:jc w:val="both"/>
        <w:rPr>
          <w:rFonts w:ascii="Times New Roman" w:eastAsia="Times New Roman" w:hAnsi="Times New Roman" w:cs="Times New Roman"/>
          <w:sz w:val="24"/>
        </w:rPr>
      </w:pPr>
    </w:p>
    <w:p w:rsidR="00632472" w:rsidRDefault="00561543">
      <w:pPr>
        <w:spacing w:after="0" w:line="240" w:lineRule="auto"/>
        <w:ind w:left="142" w:right="-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2472" w:rsidRDefault="00561543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Ciudad de Buenos Aires, </w:t>
      </w:r>
      <w:r w:rsidR="00CF5E18">
        <w:rPr>
          <w:rFonts w:ascii="Times New Roman" w:eastAsia="Times New Roman" w:hAnsi="Times New Roman" w:cs="Times New Roman"/>
          <w:sz w:val="24"/>
        </w:rPr>
        <w:t>0</w:t>
      </w:r>
      <w:r w:rsidR="00E42D69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A039E9">
        <w:rPr>
          <w:rFonts w:ascii="Times New Roman" w:eastAsia="Times New Roman" w:hAnsi="Times New Roman" w:cs="Times New Roman"/>
          <w:sz w:val="24"/>
        </w:rPr>
        <w:t>A</w:t>
      </w:r>
      <w:r w:rsidR="00CF5E18">
        <w:rPr>
          <w:rFonts w:ascii="Times New Roman" w:eastAsia="Times New Roman" w:hAnsi="Times New Roman" w:cs="Times New Roman"/>
          <w:sz w:val="24"/>
        </w:rPr>
        <w:t xml:space="preserve">gosto </w:t>
      </w:r>
      <w:r>
        <w:rPr>
          <w:rFonts w:ascii="Times New Roman" w:eastAsia="Times New Roman" w:hAnsi="Times New Roman" w:cs="Times New Roman"/>
          <w:sz w:val="24"/>
        </w:rPr>
        <w:t>de 2019.</w:t>
      </w:r>
    </w:p>
    <w:p w:rsidR="00561543" w:rsidRDefault="00561543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</w:p>
    <w:p w:rsidR="00561543" w:rsidRDefault="00561543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</w:p>
    <w:p w:rsidR="004B3791" w:rsidRDefault="004B379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561543" w:rsidRDefault="00561543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</w:p>
    <w:p w:rsidR="00561543" w:rsidRDefault="00561543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</w:p>
    <w:p w:rsidR="006B4439" w:rsidRDefault="006B443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</w:rPr>
      </w:pPr>
    </w:p>
    <w:p w:rsidR="00561543" w:rsidRPr="006B4439" w:rsidRDefault="00561543" w:rsidP="00561543">
      <w:pPr>
        <w:spacing w:before="240" w:after="100" w:line="240" w:lineRule="auto"/>
        <w:ind w:left="105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anexo3"/>
      <w:bookmarkEnd w:id="0"/>
      <w:r w:rsidRPr="006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</w:t>
      </w:r>
    </w:p>
    <w:p w:rsidR="00561543" w:rsidRDefault="00561543" w:rsidP="00561543">
      <w:pPr>
        <w:spacing w:before="240" w:after="100" w:line="240" w:lineRule="auto"/>
        <w:ind w:left="105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CONDICIONES DEL PLAN DE FACILIDADES DE PAGO</w:t>
      </w:r>
    </w:p>
    <w:p w:rsidR="006B4439" w:rsidRPr="006B4439" w:rsidRDefault="006B4439" w:rsidP="00561543">
      <w:pPr>
        <w:spacing w:before="240" w:after="100" w:line="240" w:lineRule="auto"/>
        <w:ind w:left="105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1543" w:rsidRPr="00B53FEB" w:rsidRDefault="00561543" w:rsidP="00561543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3FE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95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1127"/>
        <w:gridCol w:w="1350"/>
        <w:gridCol w:w="4073"/>
        <w:gridCol w:w="986"/>
      </w:tblGrid>
      <w:tr w:rsidR="00A039E9" w:rsidRPr="00A039E9" w:rsidTr="00A039E9">
        <w:trPr>
          <w:trHeight w:val="442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val="es-ES" w:eastAsia="es-ES"/>
              </w:rPr>
              <w:t>CATEGORIZACIÓN DEL CONTRIBUYENTE Y/O TIPO DE DEUDA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val="es-ES" w:eastAsia="es-ES"/>
              </w:rPr>
              <w:t>PAGO A CUENTA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val="es-ES" w:eastAsia="es-ES"/>
              </w:rPr>
              <w:t>CANTIDAD DE CUOTAS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val="es-ES" w:eastAsia="es-ES"/>
              </w:rPr>
              <w:t>TASA EFECTIVA MENSUAL DE FINANCIAMIENTO: Tasa efectiva mensual equivalente a la tasa de referencia TM20 en pesos de Bancos Privados publicada por el BCRA, vigente para el día 20 del mes inmediato anterior a la consolidación o del trimestre calendario en el que vence la cuota, reducida a los porcentajes que se indican en cada caso: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val="es-ES" w:eastAsia="es-ES"/>
              </w:rPr>
              <w:t>TOPE DE TASA</w:t>
            </w:r>
          </w:p>
        </w:tc>
      </w:tr>
      <w:tr w:rsidR="00A039E9" w:rsidRPr="00A039E9" w:rsidTr="00A039E9">
        <w:trPr>
          <w:trHeight w:val="442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 xml:space="preserve">Micro, pequeñas y medianas empresas inscriptas en el “Registro de empresas </w:t>
            </w:r>
            <w:proofErr w:type="spellStart"/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MiPyMES</w:t>
            </w:r>
            <w:proofErr w:type="spellEnd"/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”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60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</w:tr>
      <w:tr w:rsidR="00A039E9" w:rsidRPr="00A039E9" w:rsidTr="00A039E9">
        <w:trPr>
          <w:trHeight w:val="286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Régimen Simplificado para Pequeños Contribuyentes (RS) y Autónomos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60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</w:tr>
      <w:tr w:rsidR="00A039E9" w:rsidRPr="00A039E9" w:rsidTr="00A039E9">
        <w:trPr>
          <w:trHeight w:val="286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Planes de facilidades de pago previstos en el inciso d) del artículo 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36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</w:tr>
      <w:tr w:rsidR="00A039E9" w:rsidRPr="00A039E9" w:rsidTr="00A039E9">
        <w:trPr>
          <w:trHeight w:val="208"/>
        </w:trPr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Resto de contribuyentes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36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</w:tr>
      <w:tr w:rsidR="00A039E9" w:rsidRPr="00A039E9" w:rsidTr="00A039E9">
        <w:trPr>
          <w:trHeight w:val="112"/>
        </w:trPr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10%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48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70%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</w:tr>
      <w:tr w:rsidR="00A039E9" w:rsidRPr="00A039E9" w:rsidTr="00A039E9">
        <w:trPr>
          <w:trHeight w:val="112"/>
        </w:trPr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20%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60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9E9" w:rsidRPr="00A039E9" w:rsidRDefault="00A039E9" w:rsidP="00A039E9">
            <w:pPr>
              <w:spacing w:after="0" w:line="240" w:lineRule="auto"/>
              <w:ind w:left="140" w:right="14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A039E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</w:tr>
    </w:tbl>
    <w:p w:rsidR="00632472" w:rsidRDefault="00632472" w:rsidP="009D0F82">
      <w:pPr>
        <w:spacing w:after="0" w:line="240" w:lineRule="auto"/>
        <w:ind w:right="1043"/>
        <w:jc w:val="both"/>
        <w:rPr>
          <w:rFonts w:ascii="Times New Roman" w:eastAsia="Times New Roman" w:hAnsi="Times New Roman" w:cs="Times New Roman"/>
          <w:sz w:val="24"/>
        </w:rPr>
      </w:pPr>
    </w:p>
    <w:sectPr w:rsidR="00632472" w:rsidSect="00795B64">
      <w:head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03" w:rsidRDefault="00DA7F03" w:rsidP="006B4439">
      <w:pPr>
        <w:spacing w:after="0" w:line="240" w:lineRule="auto"/>
      </w:pPr>
      <w:r>
        <w:separator/>
      </w:r>
    </w:p>
  </w:endnote>
  <w:endnote w:type="continuationSeparator" w:id="1">
    <w:p w:rsidR="00DA7F03" w:rsidRDefault="00DA7F03" w:rsidP="006B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03" w:rsidRDefault="00DA7F03" w:rsidP="006B4439">
      <w:pPr>
        <w:spacing w:after="0" w:line="240" w:lineRule="auto"/>
      </w:pPr>
      <w:r>
        <w:separator/>
      </w:r>
    </w:p>
  </w:footnote>
  <w:footnote w:type="continuationSeparator" w:id="1">
    <w:p w:rsidR="00DA7F03" w:rsidRDefault="00DA7F03" w:rsidP="006B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03" w:rsidRPr="006B4439" w:rsidRDefault="00DA7F03" w:rsidP="00C238E2">
    <w:pPr>
      <w:pStyle w:val="Encabezado"/>
      <w:pBdr>
        <w:bottom w:val="single" w:sz="12" w:space="1" w:color="000080"/>
      </w:pBdr>
      <w:ind w:right="-660"/>
      <w:jc w:val="right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 w:rsidRPr="006B4439">
      <w:rPr>
        <w:rFonts w:ascii="Times New Roman" w:eastAsia="Times New Roman" w:hAnsi="Times New Roman" w:cs="Times New Roman"/>
        <w:b/>
        <w:color w:val="000080"/>
        <w:sz w:val="24"/>
        <w:szCs w:val="24"/>
      </w:rPr>
      <w:t>FABETTI, BERTANI &amp; ASOCIADOS.</w:t>
    </w:r>
  </w:p>
  <w:p w:rsidR="00DA7F03" w:rsidRPr="006B4439" w:rsidRDefault="00DA7F03" w:rsidP="006B4439">
    <w:pPr>
      <w:pStyle w:val="Encabezado"/>
      <w:rPr>
        <w:rFonts w:ascii="Times New Roman" w:eastAsia="Times New Roman" w:hAnsi="Times New Roman" w:cs="Times New Roman"/>
        <w:sz w:val="24"/>
        <w:szCs w:val="24"/>
      </w:rPr>
    </w:pPr>
  </w:p>
  <w:p w:rsidR="00DA7F03" w:rsidRPr="006B4439" w:rsidRDefault="00DA7F03" w:rsidP="006B44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2A5"/>
    <w:multiLevelType w:val="multilevel"/>
    <w:tmpl w:val="461E5A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1410A"/>
    <w:multiLevelType w:val="hybridMultilevel"/>
    <w:tmpl w:val="4412C9D8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60279C"/>
    <w:multiLevelType w:val="hybridMultilevel"/>
    <w:tmpl w:val="DC60EBFE"/>
    <w:lvl w:ilvl="0" w:tplc="0C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68A65A4"/>
    <w:multiLevelType w:val="hybridMultilevel"/>
    <w:tmpl w:val="E60E6D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2A75"/>
    <w:multiLevelType w:val="hybridMultilevel"/>
    <w:tmpl w:val="FFF85B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3585"/>
    <w:multiLevelType w:val="multilevel"/>
    <w:tmpl w:val="D0004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A0A7E"/>
    <w:multiLevelType w:val="multilevel"/>
    <w:tmpl w:val="6CF42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73749"/>
    <w:multiLevelType w:val="multilevel"/>
    <w:tmpl w:val="52981E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41839"/>
    <w:multiLevelType w:val="hybridMultilevel"/>
    <w:tmpl w:val="D47AFFF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176FF"/>
    <w:multiLevelType w:val="hybridMultilevel"/>
    <w:tmpl w:val="C0028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C81"/>
    <w:multiLevelType w:val="hybridMultilevel"/>
    <w:tmpl w:val="A410A8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5226"/>
    <w:multiLevelType w:val="hybridMultilevel"/>
    <w:tmpl w:val="841A4B2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D47DD7"/>
    <w:multiLevelType w:val="hybridMultilevel"/>
    <w:tmpl w:val="EE2250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25B7A"/>
    <w:multiLevelType w:val="hybridMultilevel"/>
    <w:tmpl w:val="5CA244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D716DF"/>
    <w:multiLevelType w:val="multilevel"/>
    <w:tmpl w:val="30A8F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D616B"/>
    <w:multiLevelType w:val="hybridMultilevel"/>
    <w:tmpl w:val="163A0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32EBF"/>
    <w:multiLevelType w:val="hybridMultilevel"/>
    <w:tmpl w:val="42AC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C3C88"/>
    <w:multiLevelType w:val="hybridMultilevel"/>
    <w:tmpl w:val="C76E4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C63D1"/>
    <w:multiLevelType w:val="hybridMultilevel"/>
    <w:tmpl w:val="55B453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83A44"/>
    <w:multiLevelType w:val="hybridMultilevel"/>
    <w:tmpl w:val="37B454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01B1A"/>
    <w:multiLevelType w:val="multilevel"/>
    <w:tmpl w:val="E9C60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4C1452"/>
    <w:multiLevelType w:val="hybridMultilevel"/>
    <w:tmpl w:val="7846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83ED4"/>
    <w:multiLevelType w:val="hybridMultilevel"/>
    <w:tmpl w:val="07DCCC2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05547E"/>
    <w:multiLevelType w:val="multilevel"/>
    <w:tmpl w:val="5E1CE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A816A2"/>
    <w:multiLevelType w:val="hybridMultilevel"/>
    <w:tmpl w:val="0590B628"/>
    <w:lvl w:ilvl="0" w:tplc="2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5306121"/>
    <w:multiLevelType w:val="hybridMultilevel"/>
    <w:tmpl w:val="E368C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85F2C"/>
    <w:multiLevelType w:val="multilevel"/>
    <w:tmpl w:val="B3625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5175F9"/>
    <w:multiLevelType w:val="hybridMultilevel"/>
    <w:tmpl w:val="B0F068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3463A"/>
    <w:multiLevelType w:val="hybridMultilevel"/>
    <w:tmpl w:val="A6E88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D7A1F"/>
    <w:multiLevelType w:val="hybridMultilevel"/>
    <w:tmpl w:val="76AE5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B5237"/>
    <w:multiLevelType w:val="hybridMultilevel"/>
    <w:tmpl w:val="AA88C4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31A9F"/>
    <w:multiLevelType w:val="hybridMultilevel"/>
    <w:tmpl w:val="366888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A4E"/>
    <w:multiLevelType w:val="multilevel"/>
    <w:tmpl w:val="8E32C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01DCC"/>
    <w:multiLevelType w:val="multilevel"/>
    <w:tmpl w:val="DA3CC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E6067C"/>
    <w:multiLevelType w:val="multilevel"/>
    <w:tmpl w:val="E3F24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3"/>
  </w:num>
  <w:num w:numId="4">
    <w:abstractNumId w:val="35"/>
  </w:num>
  <w:num w:numId="5">
    <w:abstractNumId w:val="14"/>
  </w:num>
  <w:num w:numId="6">
    <w:abstractNumId w:val="34"/>
  </w:num>
  <w:num w:numId="7">
    <w:abstractNumId w:val="25"/>
  </w:num>
  <w:num w:numId="8">
    <w:abstractNumId w:val="27"/>
  </w:num>
  <w:num w:numId="9">
    <w:abstractNumId w:val="3"/>
  </w:num>
  <w:num w:numId="10">
    <w:abstractNumId w:val="28"/>
  </w:num>
  <w:num w:numId="11">
    <w:abstractNumId w:val="31"/>
  </w:num>
  <w:num w:numId="12">
    <w:abstractNumId w:val="12"/>
  </w:num>
  <w:num w:numId="13">
    <w:abstractNumId w:val="23"/>
  </w:num>
  <w:num w:numId="14">
    <w:abstractNumId w:val="5"/>
  </w:num>
  <w:num w:numId="15">
    <w:abstractNumId w:val="24"/>
  </w:num>
  <w:num w:numId="16">
    <w:abstractNumId w:val="4"/>
  </w:num>
  <w:num w:numId="17">
    <w:abstractNumId w:val="7"/>
  </w:num>
  <w:num w:numId="18">
    <w:abstractNumId w:val="2"/>
  </w:num>
  <w:num w:numId="19">
    <w:abstractNumId w:val="16"/>
  </w:num>
  <w:num w:numId="20">
    <w:abstractNumId w:val="18"/>
  </w:num>
  <w:num w:numId="21">
    <w:abstractNumId w:val="20"/>
  </w:num>
  <w:num w:numId="22">
    <w:abstractNumId w:val="36"/>
  </w:num>
  <w:num w:numId="23">
    <w:abstractNumId w:val="9"/>
  </w:num>
  <w:num w:numId="24">
    <w:abstractNumId w:val="0"/>
  </w:num>
  <w:num w:numId="25">
    <w:abstractNumId w:val="26"/>
  </w:num>
  <w:num w:numId="26">
    <w:abstractNumId w:val="19"/>
  </w:num>
  <w:num w:numId="27">
    <w:abstractNumId w:val="8"/>
  </w:num>
  <w:num w:numId="28">
    <w:abstractNumId w:val="32"/>
  </w:num>
  <w:num w:numId="29">
    <w:abstractNumId w:val="13"/>
  </w:num>
  <w:num w:numId="30">
    <w:abstractNumId w:val="22"/>
  </w:num>
  <w:num w:numId="31">
    <w:abstractNumId w:val="30"/>
  </w:num>
  <w:num w:numId="32">
    <w:abstractNumId w:val="29"/>
  </w:num>
  <w:num w:numId="33">
    <w:abstractNumId w:val="11"/>
  </w:num>
  <w:num w:numId="34">
    <w:abstractNumId w:val="1"/>
  </w:num>
  <w:num w:numId="35">
    <w:abstractNumId w:val="10"/>
  </w:num>
  <w:num w:numId="36">
    <w:abstractNumId w:val="1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472"/>
    <w:rsid w:val="0005228C"/>
    <w:rsid w:val="0005278D"/>
    <w:rsid w:val="000E3D50"/>
    <w:rsid w:val="00105F48"/>
    <w:rsid w:val="00120526"/>
    <w:rsid w:val="00134692"/>
    <w:rsid w:val="001D5FEB"/>
    <w:rsid w:val="00315385"/>
    <w:rsid w:val="00320569"/>
    <w:rsid w:val="003340C2"/>
    <w:rsid w:val="00345CA0"/>
    <w:rsid w:val="003757E8"/>
    <w:rsid w:val="004B3791"/>
    <w:rsid w:val="00534EAC"/>
    <w:rsid w:val="005356FD"/>
    <w:rsid w:val="00561543"/>
    <w:rsid w:val="0056621A"/>
    <w:rsid w:val="005A2C6A"/>
    <w:rsid w:val="005B4731"/>
    <w:rsid w:val="005D29B1"/>
    <w:rsid w:val="005D786A"/>
    <w:rsid w:val="0061499A"/>
    <w:rsid w:val="00632472"/>
    <w:rsid w:val="00644622"/>
    <w:rsid w:val="00682716"/>
    <w:rsid w:val="00682C43"/>
    <w:rsid w:val="006A7333"/>
    <w:rsid w:val="006B4439"/>
    <w:rsid w:val="00721887"/>
    <w:rsid w:val="0072306D"/>
    <w:rsid w:val="00740E97"/>
    <w:rsid w:val="00795B64"/>
    <w:rsid w:val="007F3BDB"/>
    <w:rsid w:val="00830DE1"/>
    <w:rsid w:val="00847931"/>
    <w:rsid w:val="00877F50"/>
    <w:rsid w:val="0091242A"/>
    <w:rsid w:val="0093689A"/>
    <w:rsid w:val="009710B7"/>
    <w:rsid w:val="00994471"/>
    <w:rsid w:val="009B027D"/>
    <w:rsid w:val="009B186B"/>
    <w:rsid w:val="009D0E42"/>
    <w:rsid w:val="009D0F82"/>
    <w:rsid w:val="00A039E9"/>
    <w:rsid w:val="00A108A9"/>
    <w:rsid w:val="00A66EEA"/>
    <w:rsid w:val="00AA1830"/>
    <w:rsid w:val="00AF287C"/>
    <w:rsid w:val="00B41797"/>
    <w:rsid w:val="00B53FEB"/>
    <w:rsid w:val="00C238E2"/>
    <w:rsid w:val="00C53A32"/>
    <w:rsid w:val="00C96F3B"/>
    <w:rsid w:val="00CA7A94"/>
    <w:rsid w:val="00CF5E18"/>
    <w:rsid w:val="00D344C2"/>
    <w:rsid w:val="00D45599"/>
    <w:rsid w:val="00D71641"/>
    <w:rsid w:val="00DA7F03"/>
    <w:rsid w:val="00DB7CB8"/>
    <w:rsid w:val="00DE7F2C"/>
    <w:rsid w:val="00E42D69"/>
    <w:rsid w:val="00E56725"/>
    <w:rsid w:val="00EB5AE9"/>
    <w:rsid w:val="00ED34A2"/>
    <w:rsid w:val="00EE2718"/>
    <w:rsid w:val="00F10DCE"/>
    <w:rsid w:val="00F37D0A"/>
    <w:rsid w:val="00F436B8"/>
    <w:rsid w:val="00F84F8D"/>
    <w:rsid w:val="00F87298"/>
    <w:rsid w:val="00FD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rrepar2dofrancesnovedades">
    <w:name w:val="errepar_2do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epar3erfrancesnovedades">
    <w:name w:val="errepar_3er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pervnculo">
    <w:name w:val="hipervnculo"/>
    <w:basedOn w:val="Fuentedeprrafopredeter"/>
    <w:rsid w:val="007F3BDB"/>
  </w:style>
  <w:style w:type="paragraph" w:customStyle="1" w:styleId="sangrianovedades">
    <w:name w:val="sangri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donegritanovedades">
    <w:name w:val="textocentradonegrit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45599"/>
    <w:pPr>
      <w:ind w:left="720"/>
      <w:contextualSpacing/>
    </w:pPr>
  </w:style>
  <w:style w:type="paragraph" w:customStyle="1" w:styleId="errepar1erfrancesnovedades">
    <w:name w:val="errepar_1erfrancesnovedades"/>
    <w:basedOn w:val="Normal"/>
    <w:rsid w:val="0061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acentrado8">
    <w:name w:val="tablacentrado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561543"/>
  </w:style>
  <w:style w:type="paragraph" w:customStyle="1" w:styleId="tablaizquierda8">
    <w:name w:val="tablaizquierda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8novedades">
    <w:name w:val="texto8novedades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E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994471"/>
    <w:pPr>
      <w:spacing w:after="0" w:line="240" w:lineRule="auto"/>
      <w:ind w:right="104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447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439"/>
  </w:style>
  <w:style w:type="paragraph" w:styleId="Piedepgina">
    <w:name w:val="footer"/>
    <w:basedOn w:val="Normal"/>
    <w:link w:val="PiedepginaCar"/>
    <w:uiPriority w:val="99"/>
    <w:semiHidden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A194-29F7-49C9-A109-170C28E5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La Rosa</dc:creator>
  <cp:lastModifiedBy>Paola Fontao</cp:lastModifiedBy>
  <cp:revision>18</cp:revision>
  <cp:lastPrinted>2019-08-01T21:09:00Z</cp:lastPrinted>
  <dcterms:created xsi:type="dcterms:W3CDTF">2019-08-01T18:31:00Z</dcterms:created>
  <dcterms:modified xsi:type="dcterms:W3CDTF">2019-08-07T21:46:00Z</dcterms:modified>
</cp:coreProperties>
</file>