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72" w:rsidRPr="00646ABA" w:rsidRDefault="00534EAC">
      <w:pPr>
        <w:spacing w:after="0" w:line="240" w:lineRule="auto"/>
        <w:ind w:right="1043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46ABA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561543" w:rsidRPr="00646ABA">
        <w:rPr>
          <w:rFonts w:ascii="Times New Roman" w:eastAsia="Times New Roman" w:hAnsi="Times New Roman" w:cs="Times New Roman"/>
          <w:b/>
          <w:sz w:val="28"/>
          <w:u w:val="single"/>
        </w:rPr>
        <w:t>CIRCULAR IMPOSITIVA NRO. 9</w:t>
      </w:r>
      <w:r w:rsidR="000F7F61" w:rsidRPr="00646ABA">
        <w:rPr>
          <w:rFonts w:ascii="Times New Roman" w:eastAsia="Times New Roman" w:hAnsi="Times New Roman" w:cs="Times New Roman"/>
          <w:b/>
          <w:sz w:val="28"/>
          <w:u w:val="single"/>
        </w:rPr>
        <w:t>84</w:t>
      </w:r>
    </w:p>
    <w:p w:rsidR="00632472" w:rsidRPr="00646ABA" w:rsidRDefault="0063247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Pr="00646ABA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Pr="00646ABA" w:rsidRDefault="0056154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646ABA">
        <w:rPr>
          <w:rFonts w:ascii="Times New Roman" w:eastAsia="Times New Roman" w:hAnsi="Times New Roman" w:cs="Times New Roman"/>
          <w:b/>
          <w:i/>
          <w:sz w:val="24"/>
        </w:rPr>
        <w:t xml:space="preserve">Resolución General N° </w:t>
      </w:r>
      <w:r w:rsidR="00FB2FA2" w:rsidRPr="00646ABA">
        <w:rPr>
          <w:rFonts w:ascii="Times New Roman" w:eastAsia="Times New Roman" w:hAnsi="Times New Roman" w:cs="Times New Roman"/>
          <w:b/>
          <w:i/>
          <w:sz w:val="24"/>
        </w:rPr>
        <w:t>4503</w:t>
      </w:r>
      <w:r w:rsidRPr="00646ABA">
        <w:rPr>
          <w:rFonts w:ascii="Times New Roman" w:eastAsia="Times New Roman" w:hAnsi="Times New Roman" w:cs="Times New Roman"/>
          <w:b/>
          <w:i/>
          <w:sz w:val="24"/>
        </w:rPr>
        <w:t xml:space="preserve"> AFIP</w:t>
      </w:r>
    </w:p>
    <w:p w:rsidR="00632472" w:rsidRDefault="000F7F61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Fecha de Norma: 11/06</w:t>
      </w:r>
      <w:r w:rsidR="00561543">
        <w:rPr>
          <w:rFonts w:ascii="Times New Roman" w:eastAsia="Times New Roman" w:hAnsi="Times New Roman" w:cs="Times New Roman"/>
          <w:b/>
          <w:i/>
          <w:sz w:val="24"/>
        </w:rPr>
        <w:t xml:space="preserve">//2019  </w:t>
      </w:r>
    </w:p>
    <w:p w:rsidR="00632472" w:rsidRDefault="00FB2FA2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Boletín Oficial: 1</w:t>
      </w:r>
      <w:r w:rsidR="000F7F61">
        <w:rPr>
          <w:rFonts w:ascii="Times New Roman" w:eastAsia="Times New Roman" w:hAnsi="Times New Roman" w:cs="Times New Roman"/>
          <w:b/>
          <w:i/>
          <w:sz w:val="24"/>
        </w:rPr>
        <w:t>2/06</w:t>
      </w:r>
      <w:r w:rsidR="00561543">
        <w:rPr>
          <w:rFonts w:ascii="Times New Roman" w:eastAsia="Times New Roman" w:hAnsi="Times New Roman" w:cs="Times New Roman"/>
          <w:b/>
          <w:i/>
          <w:sz w:val="24"/>
        </w:rPr>
        <w:t>/2019</w:t>
      </w:r>
    </w:p>
    <w:p w:rsidR="00632472" w:rsidRDefault="006324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B2FA2" w:rsidRDefault="00FB2FA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Presentaciones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Digitales .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Reemplazo del Formulario Multinota. </w:t>
      </w:r>
    </w:p>
    <w:p w:rsidR="00632472" w:rsidRDefault="0063247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66EEA" w:rsidRDefault="00A66EEA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32472" w:rsidRDefault="00561543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trav</w:t>
      </w:r>
      <w:r w:rsidR="00783578">
        <w:rPr>
          <w:rFonts w:ascii="Times New Roman" w:eastAsia="Times New Roman" w:hAnsi="Times New Roman" w:cs="Times New Roman"/>
          <w:sz w:val="24"/>
        </w:rPr>
        <w:t xml:space="preserve">és de la Resolución General 4503, </w:t>
      </w:r>
      <w:r w:rsidR="0091407C">
        <w:rPr>
          <w:rFonts w:ascii="Times New Roman" w:eastAsia="Times New Roman" w:hAnsi="Times New Roman" w:cs="Times New Roman"/>
          <w:sz w:val="24"/>
        </w:rPr>
        <w:t xml:space="preserve">la </w:t>
      </w:r>
      <w:r w:rsidR="00783578">
        <w:rPr>
          <w:rFonts w:ascii="Times New Roman" w:eastAsia="Times New Roman" w:hAnsi="Times New Roman" w:cs="Times New Roman"/>
          <w:sz w:val="24"/>
        </w:rPr>
        <w:t>AFIP implementa el servicio "Pre</w:t>
      </w:r>
      <w:r w:rsidR="008C06DB">
        <w:rPr>
          <w:rFonts w:ascii="Times New Roman" w:eastAsia="Times New Roman" w:hAnsi="Times New Roman" w:cs="Times New Roman"/>
          <w:sz w:val="24"/>
        </w:rPr>
        <w:t xml:space="preserve">sentaciones Digitales", para </w:t>
      </w:r>
      <w:r w:rsidR="00783578">
        <w:rPr>
          <w:rFonts w:ascii="Times New Roman" w:eastAsia="Times New Roman" w:hAnsi="Times New Roman" w:cs="Times New Roman"/>
          <w:sz w:val="24"/>
        </w:rPr>
        <w:t>realizar en forma electrónica las presentaciones de notas y/o comunicaciones que deben realizarse con carácter de declaració</w:t>
      </w:r>
      <w:r>
        <w:rPr>
          <w:rFonts w:ascii="Times New Roman" w:eastAsia="Times New Roman" w:hAnsi="Times New Roman" w:cs="Times New Roman"/>
          <w:sz w:val="24"/>
        </w:rPr>
        <w:t>n</w:t>
      </w:r>
      <w:r w:rsidR="00783578">
        <w:rPr>
          <w:rFonts w:ascii="Times New Roman" w:eastAsia="Times New Roman" w:hAnsi="Times New Roman" w:cs="Times New Roman"/>
          <w:sz w:val="24"/>
        </w:rPr>
        <w:t xml:space="preserve"> jurada, reemplazando así al viejo Formulario Multinota, que era confeccionado digitalmente, pero debía ser presentado físicamente en las oficinas de la AFIP.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6EEA" w:rsidRDefault="00A66EEA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91407C" w:rsidRDefault="0091407C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91407C" w:rsidRPr="00994471" w:rsidRDefault="0091407C" w:rsidP="0091407C">
      <w:pPr>
        <w:pStyle w:val="Prrafodelista"/>
        <w:numPr>
          <w:ilvl w:val="0"/>
          <w:numId w:val="16"/>
        </w:numPr>
        <w:spacing w:after="0" w:line="240" w:lineRule="auto"/>
        <w:ind w:left="426" w:right="-93" w:hanging="426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Alcance</w:t>
      </w:r>
    </w:p>
    <w:p w:rsidR="0091407C" w:rsidRDefault="0091407C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B4439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nomina de las presentaciones y/o comunicaciones respecto de las cuales estará disponible el servicio “Presentaciones digitales”, con su correspondiente fecha de habilitación, será publicada en el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micrositio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“Presentaciones Digitales” del sitio web de esta Administración.</w:t>
      </w:r>
    </w:p>
    <w:p w:rsidR="00EB3E92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B3E92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 una primera etapa, la utilización se encontrará disponible para las presentaciones y/o comunicaciones indicadas en el Anexo I.</w:t>
      </w:r>
    </w:p>
    <w:p w:rsidR="00EB3E92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B3E92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Las funcionalidades y especificaciones del servicio ·Presentaciones Digitales” se encuentran detalladas en el Anexo II.</w:t>
      </w:r>
    </w:p>
    <w:p w:rsidR="00EB3E92" w:rsidRDefault="00EB3E9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91407C" w:rsidRDefault="0091407C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Pr="00994471" w:rsidRDefault="0091407C" w:rsidP="00BB7AE7">
      <w:pPr>
        <w:pStyle w:val="Prrafodelista"/>
        <w:numPr>
          <w:ilvl w:val="0"/>
          <w:numId w:val="16"/>
        </w:numPr>
        <w:spacing w:after="0" w:line="240" w:lineRule="auto"/>
        <w:ind w:left="426" w:right="-93" w:hanging="426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Exclusiones</w:t>
      </w:r>
    </w:p>
    <w:p w:rsidR="00632472" w:rsidRDefault="0063247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93424" w:rsidRDefault="00993424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993424">
        <w:rPr>
          <w:rFonts w:ascii="Times New Roman" w:eastAsia="Times New Roman" w:hAnsi="Times New Roman" w:cs="Times New Roman"/>
          <w:sz w:val="24"/>
        </w:rPr>
        <w:t xml:space="preserve">Quedan </w:t>
      </w:r>
      <w:r>
        <w:rPr>
          <w:rFonts w:ascii="Times New Roman" w:eastAsia="Times New Roman" w:hAnsi="Times New Roman" w:cs="Times New Roman"/>
          <w:sz w:val="24"/>
        </w:rPr>
        <w:t>excluidas las siguientes presentaciones:</w:t>
      </w:r>
    </w:p>
    <w:p w:rsidR="00993424" w:rsidRPr="00993424" w:rsidRDefault="00993424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F30824" w:rsidRPr="00F30824" w:rsidRDefault="00993424" w:rsidP="00BB7AE7">
      <w:pPr>
        <w:numPr>
          <w:ilvl w:val="0"/>
          <w:numId w:val="30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Las </w:t>
      </w:r>
      <w:r w:rsidR="00F30824" w:rsidRPr="00F30824">
        <w:rPr>
          <w:rFonts w:ascii="Times New Roman" w:eastAsia="Times New Roman" w:hAnsi="Times New Roman" w:cs="Times New Roman"/>
          <w:sz w:val="24"/>
        </w:rPr>
        <w:t>que se efectúen a los fines de formular denuncias, las relativas a la sustanciación de sumarios por infracciones formales y/o materiales, las vinculadas a las vistas del procedimiento de determinación de oficio y las relacionadas con los recur</w:t>
      </w:r>
      <w:r>
        <w:rPr>
          <w:rFonts w:ascii="Times New Roman" w:eastAsia="Times New Roman" w:hAnsi="Times New Roman" w:cs="Times New Roman"/>
          <w:sz w:val="24"/>
        </w:rPr>
        <w:t>sos previstos en la Le</w:t>
      </w:r>
      <w:r w:rsidR="00F3082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de procedimiento (Ley </w:t>
      </w:r>
      <w:r w:rsidR="00F30824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.</w:t>
      </w:r>
      <w:r w:rsidR="00F30824">
        <w:rPr>
          <w:rFonts w:ascii="Times New Roman" w:eastAsia="Times New Roman" w:hAnsi="Times New Roman" w:cs="Times New Roman"/>
          <w:sz w:val="24"/>
        </w:rPr>
        <w:t>683</w:t>
      </w:r>
      <w:r>
        <w:rPr>
          <w:rFonts w:ascii="Times New Roman" w:eastAsia="Times New Roman" w:hAnsi="Times New Roman" w:cs="Times New Roman"/>
          <w:sz w:val="24"/>
        </w:rPr>
        <w:t>)</w:t>
      </w:r>
      <w:r w:rsidR="00F30824" w:rsidRPr="00F30824">
        <w:rPr>
          <w:rFonts w:ascii="Times New Roman" w:eastAsia="Times New Roman" w:hAnsi="Times New Roman" w:cs="Times New Roman"/>
          <w:sz w:val="24"/>
        </w:rPr>
        <w:t>.</w:t>
      </w:r>
    </w:p>
    <w:p w:rsidR="00F30824" w:rsidRPr="00F30824" w:rsidRDefault="00F30824" w:rsidP="00BB7AE7">
      <w:pPr>
        <w:spacing w:after="0" w:line="240" w:lineRule="auto"/>
        <w:ind w:left="720"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F30824" w:rsidRDefault="00993424" w:rsidP="00BB7AE7">
      <w:pPr>
        <w:numPr>
          <w:ilvl w:val="0"/>
          <w:numId w:val="30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Las</w:t>
      </w:r>
      <w:r w:rsidR="0099635E">
        <w:rPr>
          <w:rFonts w:ascii="Times New Roman" w:eastAsia="Times New Roman" w:hAnsi="Times New Roman" w:cs="Times New Roman"/>
          <w:sz w:val="24"/>
        </w:rPr>
        <w:t xml:space="preserve"> relacionadas con impugnaciones </w:t>
      </w:r>
      <w:r w:rsidR="00F30824" w:rsidRPr="00F30824">
        <w:rPr>
          <w:rFonts w:ascii="Times New Roman" w:eastAsia="Times New Roman" w:hAnsi="Times New Roman" w:cs="Times New Roman"/>
          <w:sz w:val="24"/>
        </w:rPr>
        <w:t xml:space="preserve">de deudas determinadas por conceptos relativos a los </w:t>
      </w:r>
      <w:r w:rsidR="0099635E">
        <w:rPr>
          <w:rFonts w:ascii="Times New Roman" w:eastAsia="Times New Roman" w:hAnsi="Times New Roman" w:cs="Times New Roman"/>
          <w:sz w:val="24"/>
        </w:rPr>
        <w:t>recursos de la seguridad social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B4439" w:rsidRDefault="006B4439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632472" w:rsidRDefault="0063247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E2718" w:rsidRDefault="003E7A34" w:rsidP="00BB7AE7">
      <w:pPr>
        <w:pStyle w:val="Prrafodelista"/>
        <w:numPr>
          <w:ilvl w:val="0"/>
          <w:numId w:val="16"/>
        </w:numPr>
        <w:spacing w:after="0" w:line="240" w:lineRule="auto"/>
        <w:ind w:left="426" w:right="-93" w:hanging="426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Requisitos</w:t>
      </w:r>
      <w:r w:rsidR="009B027D" w:rsidRPr="00D7164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30824">
        <w:rPr>
          <w:rFonts w:ascii="Times New Roman" w:eastAsia="Times New Roman" w:hAnsi="Times New Roman" w:cs="Times New Roman"/>
          <w:b/>
          <w:sz w:val="24"/>
          <w:u w:val="single"/>
        </w:rPr>
        <w:t xml:space="preserve">para realizar las presentaciones </w:t>
      </w:r>
      <w:r w:rsidR="0091407C">
        <w:rPr>
          <w:rFonts w:ascii="Times New Roman" w:eastAsia="Times New Roman" w:hAnsi="Times New Roman" w:cs="Times New Roman"/>
          <w:b/>
          <w:sz w:val="24"/>
          <w:u w:val="single"/>
        </w:rPr>
        <w:t>y/ comunicaciones electrónicas</w:t>
      </w:r>
    </w:p>
    <w:p w:rsidR="00994471" w:rsidRPr="00D245AD" w:rsidRDefault="00994471" w:rsidP="00BB7AE7">
      <w:pPr>
        <w:pStyle w:val="Textoindependiente"/>
        <w:widowControl w:val="0"/>
        <w:tabs>
          <w:tab w:val="left" w:pos="9356"/>
        </w:tabs>
        <w:ind w:right="-93"/>
        <w:rPr>
          <w:lang w:val="es-AR"/>
        </w:rPr>
      </w:pPr>
    </w:p>
    <w:p w:rsidR="00994471" w:rsidRDefault="00F30824" w:rsidP="00BB7AE7">
      <w:pPr>
        <w:pStyle w:val="Textoindependiente"/>
        <w:widowControl w:val="0"/>
        <w:numPr>
          <w:ilvl w:val="0"/>
          <w:numId w:val="23"/>
        </w:numPr>
        <w:tabs>
          <w:tab w:val="left" w:pos="9356"/>
        </w:tabs>
        <w:ind w:right="-93"/>
        <w:rPr>
          <w:lang w:val="es-AR"/>
        </w:rPr>
      </w:pPr>
      <w:r w:rsidRPr="00F30824">
        <w:rPr>
          <w:lang w:val="es-AR"/>
        </w:rPr>
        <w:t>Tener Clave Única de Identificación Tributaria (CUIT), Código Único de Identificación Laboral (CUIL) o Clave de Identificación (CDI).</w:t>
      </w:r>
    </w:p>
    <w:p w:rsidR="00994471" w:rsidRDefault="00F30824" w:rsidP="00BB7AE7">
      <w:pPr>
        <w:pStyle w:val="Textoindependiente"/>
        <w:widowControl w:val="0"/>
        <w:numPr>
          <w:ilvl w:val="0"/>
          <w:numId w:val="23"/>
        </w:numPr>
        <w:tabs>
          <w:tab w:val="left" w:pos="9356"/>
        </w:tabs>
        <w:ind w:right="-93"/>
        <w:rPr>
          <w:lang w:val="es-AR"/>
        </w:rPr>
      </w:pPr>
      <w:r w:rsidRPr="00F30824">
        <w:rPr>
          <w:lang w:val="es-AR"/>
        </w:rPr>
        <w:t>Contar con “clave fiscal” con nivel de seguridad 2 o superior</w:t>
      </w:r>
      <w:r>
        <w:rPr>
          <w:lang w:val="es-AR"/>
        </w:rPr>
        <w:t xml:space="preserve">. </w:t>
      </w:r>
    </w:p>
    <w:p w:rsidR="00994471" w:rsidRPr="00CB57BF" w:rsidRDefault="00F30824" w:rsidP="00BB7AE7">
      <w:pPr>
        <w:pStyle w:val="Textoindependiente"/>
        <w:widowControl w:val="0"/>
        <w:numPr>
          <w:ilvl w:val="0"/>
          <w:numId w:val="23"/>
        </w:numPr>
        <w:tabs>
          <w:tab w:val="left" w:pos="9356"/>
        </w:tabs>
        <w:ind w:right="-93"/>
      </w:pPr>
      <w:r>
        <w:rPr>
          <w:lang w:val="es-AR"/>
        </w:rPr>
        <w:t>P</w:t>
      </w:r>
      <w:r w:rsidRPr="00F30824">
        <w:rPr>
          <w:lang w:val="es-AR"/>
        </w:rPr>
        <w:t>oseer domicilio fiscal electrónico</w:t>
      </w:r>
      <w:r>
        <w:rPr>
          <w:lang w:val="es-AR"/>
        </w:rPr>
        <w:t>.</w:t>
      </w:r>
    </w:p>
    <w:p w:rsidR="009B027D" w:rsidRDefault="009B027D" w:rsidP="00BB7AE7">
      <w:pPr>
        <w:spacing w:after="0" w:line="240" w:lineRule="auto"/>
        <w:ind w:left="720"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B4439" w:rsidRDefault="006B4439" w:rsidP="00BB7AE7">
      <w:pPr>
        <w:spacing w:after="0" w:line="240" w:lineRule="auto"/>
        <w:ind w:left="720"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9B027D" w:rsidRPr="00D45599" w:rsidRDefault="0091407C" w:rsidP="00BB7AE7">
      <w:pPr>
        <w:pStyle w:val="Prrafodelista"/>
        <w:numPr>
          <w:ilvl w:val="0"/>
          <w:numId w:val="10"/>
        </w:numPr>
        <w:spacing w:after="0" w:line="240" w:lineRule="auto"/>
        <w:ind w:left="426" w:right="-93" w:hanging="426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Condiciones</w:t>
      </w:r>
    </w:p>
    <w:p w:rsidR="009B027D" w:rsidRPr="009B027D" w:rsidRDefault="009B027D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F51C8" w:rsidRPr="00EF51C8" w:rsidRDefault="00EF51C8" w:rsidP="00BB7AE7">
      <w:pPr>
        <w:pStyle w:val="Prrafodelista"/>
        <w:numPr>
          <w:ilvl w:val="0"/>
          <w:numId w:val="37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EF51C8">
        <w:rPr>
          <w:rFonts w:ascii="Times New Roman" w:eastAsia="Times New Roman" w:hAnsi="Times New Roman" w:cs="Times New Roman"/>
          <w:sz w:val="24"/>
        </w:rPr>
        <w:t>Las presentaciones y/o comunicaciones que se efectúen a través del servicio “Presentaciones Digitales”, deberán reunir los requisitos, plazos y condiciones que las normas específicas hayan establecido para la tramitación a la que refieran las mismas, excepto en los aspectos específicamente vinculados a la presentación de documentación en forma personal ante las dependencias de este Organismo.</w:t>
      </w:r>
    </w:p>
    <w:p w:rsidR="00EF51C8" w:rsidRPr="00EF51C8" w:rsidRDefault="00EF51C8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4C2082" w:rsidRDefault="00EF51C8" w:rsidP="00993424">
      <w:pPr>
        <w:spacing w:after="0" w:line="240" w:lineRule="auto"/>
        <w:ind w:left="709" w:right="-93"/>
        <w:jc w:val="both"/>
        <w:rPr>
          <w:rFonts w:ascii="Times New Roman" w:eastAsia="Times New Roman" w:hAnsi="Times New Roman" w:cs="Times New Roman"/>
          <w:sz w:val="24"/>
        </w:rPr>
      </w:pPr>
      <w:r w:rsidRPr="00EF51C8">
        <w:rPr>
          <w:rFonts w:ascii="Times New Roman" w:eastAsia="Times New Roman" w:hAnsi="Times New Roman" w:cs="Times New Roman"/>
          <w:sz w:val="24"/>
        </w:rPr>
        <w:t>En caso que las presentaciones y/o comunicaciones electr</w:t>
      </w:r>
      <w:r w:rsidR="00993424">
        <w:rPr>
          <w:rFonts w:ascii="Times New Roman" w:eastAsia="Times New Roman" w:hAnsi="Times New Roman" w:cs="Times New Roman"/>
          <w:sz w:val="24"/>
        </w:rPr>
        <w:t xml:space="preserve">ónicas impliquen el inicio de un </w:t>
      </w:r>
      <w:r w:rsidRPr="00EF51C8">
        <w:rPr>
          <w:rFonts w:ascii="Times New Roman" w:eastAsia="Times New Roman" w:hAnsi="Times New Roman" w:cs="Times New Roman"/>
          <w:sz w:val="24"/>
        </w:rPr>
        <w:t>plazo para algún trámite y estas se efectúen en un día feriado o inhábil, dicho plazo comenzará a contarse a partir del primer día hábil siguiente.</w:t>
      </w:r>
    </w:p>
    <w:p w:rsidR="00ED0394" w:rsidRDefault="00ED0394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D0394" w:rsidRPr="00EB3E92" w:rsidRDefault="00ED0394" w:rsidP="00BB7AE7">
      <w:pPr>
        <w:pStyle w:val="Prrafodelista"/>
        <w:numPr>
          <w:ilvl w:val="0"/>
          <w:numId w:val="37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EB3E92">
        <w:rPr>
          <w:rFonts w:ascii="Times New Roman" w:eastAsia="Times New Roman" w:hAnsi="Times New Roman" w:cs="Times New Roman"/>
          <w:sz w:val="24"/>
        </w:rPr>
        <w:t>La obligación de presentar un formulario F.206 (</w:t>
      </w:r>
      <w:proofErr w:type="spellStart"/>
      <w:r w:rsidRPr="00EB3E92">
        <w:rPr>
          <w:rFonts w:ascii="Times New Roman" w:eastAsia="Times New Roman" w:hAnsi="Times New Roman" w:cs="Times New Roman"/>
          <w:sz w:val="24"/>
        </w:rPr>
        <w:t>Multinota</w:t>
      </w:r>
      <w:proofErr w:type="spellEnd"/>
      <w:r w:rsidRPr="00EB3E92">
        <w:rPr>
          <w:rFonts w:ascii="Times New Roman" w:eastAsia="Times New Roman" w:hAnsi="Times New Roman" w:cs="Times New Roman"/>
          <w:sz w:val="24"/>
        </w:rPr>
        <w:t xml:space="preserve">) y/o nota, se considerará cumplida con la realización de las presentaciones digitales implementadas por la presente, en tanto el trámite en cuestión se encuentre incorporado en el Anexo I y/o en el </w:t>
      </w:r>
      <w:proofErr w:type="spellStart"/>
      <w:r w:rsidRPr="00EB3E92">
        <w:rPr>
          <w:rFonts w:ascii="Times New Roman" w:eastAsia="Times New Roman" w:hAnsi="Times New Roman" w:cs="Times New Roman"/>
          <w:sz w:val="24"/>
        </w:rPr>
        <w:t>micrositio</w:t>
      </w:r>
      <w:proofErr w:type="spellEnd"/>
      <w:r w:rsidRPr="00EB3E92">
        <w:rPr>
          <w:rFonts w:ascii="Times New Roman" w:eastAsia="Times New Roman" w:hAnsi="Times New Roman" w:cs="Times New Roman"/>
          <w:sz w:val="24"/>
        </w:rPr>
        <w:t>, y siempre que se respete la redacción y contenido prescriptos para el mismo, así como los restantes requisitos, elementos y documentación a aportar que la norma hubiera establecido.</w:t>
      </w:r>
    </w:p>
    <w:p w:rsidR="00ED0394" w:rsidRDefault="00ED0394" w:rsidP="00BB7AE7">
      <w:pPr>
        <w:pStyle w:val="Prrafodelista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993424" w:rsidRPr="00ED0394" w:rsidRDefault="00993424" w:rsidP="00BB7AE7">
      <w:pPr>
        <w:pStyle w:val="Prrafodelista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4C2082" w:rsidRPr="004C2082" w:rsidRDefault="0091407C" w:rsidP="00BB7AE7">
      <w:pPr>
        <w:pStyle w:val="Prrafodelista"/>
        <w:numPr>
          <w:ilvl w:val="0"/>
          <w:numId w:val="10"/>
        </w:numPr>
        <w:spacing w:after="0" w:line="240" w:lineRule="auto"/>
        <w:ind w:left="426" w:right="-9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Procedimiento</w:t>
      </w:r>
    </w:p>
    <w:p w:rsidR="004C2082" w:rsidRPr="004C2082" w:rsidRDefault="004C2082" w:rsidP="00BB7AE7">
      <w:pPr>
        <w:pStyle w:val="Prrafodelista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F51C8" w:rsidRPr="00EF51C8" w:rsidRDefault="00EF51C8" w:rsidP="00BB7AE7">
      <w:pPr>
        <w:pStyle w:val="Prrafodelista"/>
        <w:numPr>
          <w:ilvl w:val="0"/>
          <w:numId w:val="36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EF51C8">
        <w:rPr>
          <w:rFonts w:ascii="Times New Roman" w:eastAsia="Times New Roman" w:hAnsi="Times New Roman" w:cs="Times New Roman"/>
          <w:sz w:val="24"/>
        </w:rPr>
        <w:t>Cuando las presentaciones y/o comunicaciones realizadas electrónicamente contengan errores u omisiones que no permitan el análisis o tratamiento de las mismas, se informará tal situación mediante una comunicación en el</w:t>
      </w:r>
      <w:r w:rsidRPr="00EF51C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93424">
        <w:rPr>
          <w:rFonts w:ascii="Times New Roman" w:eastAsia="Times New Roman" w:hAnsi="Times New Roman" w:cs="Times New Roman"/>
          <w:sz w:val="24"/>
        </w:rPr>
        <w:t>domicilio fiscal electrónico.</w:t>
      </w:r>
    </w:p>
    <w:p w:rsidR="00EF51C8" w:rsidRDefault="00BB74E7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EF51C8" w:rsidRPr="00EF51C8">
        <w:rPr>
          <w:rFonts w:ascii="Times New Roman" w:eastAsia="Times New Roman" w:hAnsi="Times New Roman" w:cs="Times New Roman"/>
          <w:sz w:val="24"/>
        </w:rPr>
        <w:t xml:space="preserve">De corresponder, se podrán efectuar nuevas presentaciones digitales o presentaciones </w:t>
      </w:r>
      <w:r w:rsidR="00EF51C8">
        <w:rPr>
          <w:rFonts w:ascii="Times New Roman" w:eastAsia="Times New Roman" w:hAnsi="Times New Roman" w:cs="Times New Roman"/>
          <w:sz w:val="24"/>
        </w:rPr>
        <w:tab/>
      </w:r>
      <w:r w:rsidR="00EF51C8" w:rsidRPr="00EF51C8">
        <w:rPr>
          <w:rFonts w:ascii="Times New Roman" w:eastAsia="Times New Roman" w:hAnsi="Times New Roman" w:cs="Times New Roman"/>
          <w:sz w:val="24"/>
        </w:rPr>
        <w:t>complementarias, que subsanen los errores u omisiones incurridos.</w:t>
      </w:r>
    </w:p>
    <w:p w:rsidR="009D0E42" w:rsidRPr="009D0E42" w:rsidRDefault="009D0E42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E96845" w:rsidRDefault="00E96845" w:rsidP="00BB7AE7">
      <w:pPr>
        <w:pStyle w:val="Prrafodelista"/>
        <w:numPr>
          <w:ilvl w:val="0"/>
          <w:numId w:val="20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E96845">
        <w:rPr>
          <w:rFonts w:ascii="Times New Roman" w:eastAsia="Times New Roman" w:hAnsi="Times New Roman" w:cs="Times New Roman"/>
          <w:sz w:val="24"/>
        </w:rPr>
        <w:t>Las presentaciones y/o comunic</w:t>
      </w:r>
      <w:r>
        <w:rPr>
          <w:rFonts w:ascii="Times New Roman" w:eastAsia="Times New Roman" w:hAnsi="Times New Roman" w:cs="Times New Roman"/>
          <w:sz w:val="24"/>
        </w:rPr>
        <w:t xml:space="preserve">aciones electrónicas realizadas </w:t>
      </w:r>
      <w:r w:rsidRPr="00E96845">
        <w:rPr>
          <w:rFonts w:ascii="Times New Roman" w:eastAsia="Times New Roman" w:hAnsi="Times New Roman" w:cs="Times New Roman"/>
          <w:sz w:val="24"/>
        </w:rPr>
        <w:t xml:space="preserve">serán derivadas al área </w:t>
      </w:r>
      <w:r>
        <w:rPr>
          <w:rFonts w:ascii="Times New Roman" w:eastAsia="Times New Roman" w:hAnsi="Times New Roman" w:cs="Times New Roman"/>
          <w:sz w:val="24"/>
        </w:rPr>
        <w:t>que corresponda</w:t>
      </w:r>
      <w:r w:rsidRPr="00E96845">
        <w:rPr>
          <w:rFonts w:ascii="Times New Roman" w:eastAsia="Times New Roman" w:hAnsi="Times New Roman" w:cs="Times New Roman"/>
          <w:sz w:val="24"/>
        </w:rPr>
        <w:t xml:space="preserve"> para su tratamiento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C11C6" w:rsidRPr="00E96845">
        <w:rPr>
          <w:rFonts w:ascii="Times New Roman" w:eastAsia="Times New Roman" w:hAnsi="Times New Roman" w:cs="Times New Roman"/>
          <w:sz w:val="24"/>
        </w:rPr>
        <w:t>emitiéndo</w:t>
      </w:r>
      <w:r w:rsidR="002C11C6">
        <w:rPr>
          <w:rFonts w:ascii="Times New Roman" w:eastAsia="Times New Roman" w:hAnsi="Times New Roman" w:cs="Times New Roman"/>
          <w:sz w:val="24"/>
        </w:rPr>
        <w:t>se</w:t>
      </w:r>
      <w:r w:rsidRPr="00E96845">
        <w:rPr>
          <w:rFonts w:ascii="Times New Roman" w:eastAsia="Times New Roman" w:hAnsi="Times New Roman" w:cs="Times New Roman"/>
          <w:sz w:val="24"/>
        </w:rPr>
        <w:t xml:space="preserve"> el correspondiente acuse de recibo que será notificado en el domicilio fiscal electrónico.</w:t>
      </w:r>
    </w:p>
    <w:p w:rsidR="00BB74E7" w:rsidRDefault="00BB74E7" w:rsidP="00BB7AE7">
      <w:pPr>
        <w:pStyle w:val="Prrafodelista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BB74E7" w:rsidRDefault="00BB74E7" w:rsidP="00BB7AE7">
      <w:pPr>
        <w:pStyle w:val="Prrafodelista"/>
        <w:numPr>
          <w:ilvl w:val="0"/>
          <w:numId w:val="20"/>
        </w:num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BB74E7">
        <w:rPr>
          <w:rFonts w:ascii="Times New Roman" w:eastAsia="Times New Roman" w:hAnsi="Times New Roman" w:cs="Times New Roman"/>
          <w:sz w:val="24"/>
        </w:rPr>
        <w:t>El seguimiento del estado de gestión de la presentación y/o comunicación realizada mediante el servicio “Presentaciones Digitales”, podrá efectuarse a través del mismo servicio.</w:t>
      </w:r>
    </w:p>
    <w:p w:rsidR="00ED0394" w:rsidRDefault="00BB74E7" w:rsidP="00BB7AE7">
      <w:pPr>
        <w:pStyle w:val="Prrafodelista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BB74E7">
        <w:rPr>
          <w:rFonts w:ascii="Times New Roman" w:eastAsia="Times New Roman" w:hAnsi="Times New Roman" w:cs="Times New Roman"/>
          <w:sz w:val="24"/>
        </w:rPr>
        <w:t>El estado “finalizada” de la presentación digital será comunicado en el domicilio fiscal electrónico.</w:t>
      </w:r>
    </w:p>
    <w:p w:rsidR="00561543" w:rsidRDefault="00561543" w:rsidP="00BB7AE7">
      <w:pPr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Pr="00F84F8D" w:rsidRDefault="00561543" w:rsidP="00BB7AE7">
      <w:pPr>
        <w:pStyle w:val="Prrafodelista"/>
        <w:numPr>
          <w:ilvl w:val="0"/>
          <w:numId w:val="21"/>
        </w:numPr>
        <w:spacing w:after="0" w:line="240" w:lineRule="auto"/>
        <w:ind w:left="426" w:right="-93" w:hanging="426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84F8D">
        <w:rPr>
          <w:rFonts w:ascii="Times New Roman" w:eastAsia="Times New Roman" w:hAnsi="Times New Roman" w:cs="Times New Roman"/>
          <w:b/>
          <w:sz w:val="24"/>
          <w:u w:val="single"/>
        </w:rPr>
        <w:t>Vigencia</w:t>
      </w:r>
    </w:p>
    <w:p w:rsidR="00632472" w:rsidRPr="00F84F8D" w:rsidRDefault="00632472" w:rsidP="00BB7AE7">
      <w:pPr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Default="00561543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F84F8D">
        <w:rPr>
          <w:rFonts w:ascii="Times New Roman" w:eastAsia="Times New Roman" w:hAnsi="Times New Roman" w:cs="Times New Roman"/>
          <w:sz w:val="24"/>
        </w:rPr>
        <w:t xml:space="preserve">Las disposiciones de la presente </w:t>
      </w:r>
      <w:r w:rsidR="00F84F8D" w:rsidRPr="00F84F8D">
        <w:rPr>
          <w:rFonts w:ascii="Times New Roman" w:eastAsia="Times New Roman" w:hAnsi="Times New Roman" w:cs="Times New Roman"/>
          <w:sz w:val="24"/>
        </w:rPr>
        <w:t xml:space="preserve">resultarán de aplicación </w:t>
      </w:r>
      <w:r w:rsidR="00EB1D16">
        <w:rPr>
          <w:rFonts w:ascii="Times New Roman" w:eastAsia="Times New Roman" w:hAnsi="Times New Roman" w:cs="Times New Roman"/>
          <w:sz w:val="24"/>
        </w:rPr>
        <w:t xml:space="preserve">para las presentaciones y/o comunicaciones que se realicen desde el </w:t>
      </w:r>
      <w:r w:rsidR="00ED0394">
        <w:rPr>
          <w:rFonts w:ascii="Times New Roman" w:eastAsia="Times New Roman" w:hAnsi="Times New Roman" w:cs="Times New Roman"/>
          <w:sz w:val="24"/>
        </w:rPr>
        <w:t>12</w:t>
      </w:r>
      <w:r w:rsidR="00EB1D16">
        <w:rPr>
          <w:rFonts w:ascii="Times New Roman" w:eastAsia="Times New Roman" w:hAnsi="Times New Roman" w:cs="Times New Roman"/>
          <w:sz w:val="24"/>
        </w:rPr>
        <w:t xml:space="preserve"> de Junio de 2019, excepto para Grandes Contribuyentes Nacionales para quienes resulta de aplicación desde el 26 de Junio de 2019.</w:t>
      </w:r>
    </w:p>
    <w:p w:rsidR="00ED0394" w:rsidRDefault="00ED0394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7B116A" w:rsidRDefault="007B116A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BB7AE7" w:rsidRDefault="00BB7AE7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7B116A" w:rsidRDefault="007B116A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632472" w:rsidRDefault="00EB3E92" w:rsidP="00BB7AE7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Ciudad de Buenos Aires, 28 </w:t>
      </w:r>
      <w:r w:rsidR="00ED0394">
        <w:rPr>
          <w:rFonts w:ascii="Times New Roman" w:eastAsia="Times New Roman" w:hAnsi="Times New Roman" w:cs="Times New Roman"/>
          <w:sz w:val="24"/>
        </w:rPr>
        <w:t>de Junio de 2019</w:t>
      </w:r>
    </w:p>
    <w:p w:rsidR="00561543" w:rsidRDefault="00561543" w:rsidP="00BB7AE7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anexo3"/>
      <w:bookmarkEnd w:id="0"/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1543" w:rsidRPr="006B4439" w:rsidRDefault="00561543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ANEXO I</w:t>
      </w:r>
    </w:p>
    <w:p w:rsidR="005E35F7" w:rsidRPr="005E35F7" w:rsidRDefault="005E35F7" w:rsidP="00BB7AE7">
      <w:pPr>
        <w:ind w:right="-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E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NÓMINA DE PRESENTACIONES Y/O COMUNICACIONES</w:t>
      </w:r>
    </w:p>
    <w:tbl>
      <w:tblPr>
        <w:tblpPr w:leftFromText="141" w:rightFromText="141" w:vertAnchor="text" w:horzAnchor="margin" w:tblpXSpec="center" w:tblpY="227"/>
        <w:tblW w:w="9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6"/>
      </w:tblGrid>
      <w:tr w:rsidR="005E35F7" w:rsidRPr="005E35F7" w:rsidTr="00BB7AE7">
        <w:trPr>
          <w:trHeight w:val="158"/>
        </w:trPr>
        <w:tc>
          <w:tcPr>
            <w:tcW w:w="9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val="es-ES" w:eastAsia="es-ES"/>
              </w:rPr>
              <w:t>DESCRIPCIÓN</w:t>
            </w:r>
          </w:p>
        </w:tc>
      </w:tr>
      <w:tr w:rsidR="005E35F7" w:rsidRPr="005E35F7" w:rsidTr="00BB7AE7">
        <w:trPr>
          <w:trHeight w:val="158"/>
        </w:trPr>
        <w:tc>
          <w:tcPr>
            <w:tcW w:w="9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Planes de pago - Anulaciones, cancelaciones anticipadas totales y otras</w:t>
            </w:r>
          </w:p>
        </w:tc>
      </w:tr>
      <w:tr w:rsidR="005E35F7" w:rsidRPr="005E35F7" w:rsidTr="00BB7AE7">
        <w:trPr>
          <w:trHeight w:val="158"/>
        </w:trPr>
        <w:tc>
          <w:tcPr>
            <w:tcW w:w="9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Modificación del estado administrativo de la CUIT - Modalidad de reactivación presencial</w:t>
            </w:r>
          </w:p>
        </w:tc>
      </w:tr>
      <w:tr w:rsidR="005E35F7" w:rsidRPr="005E35F7" w:rsidTr="00BB7AE7">
        <w:trPr>
          <w:trHeight w:val="158"/>
        </w:trPr>
        <w:tc>
          <w:tcPr>
            <w:tcW w:w="9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Cambio fecha de cierre de ejercicio</w:t>
            </w:r>
          </w:p>
        </w:tc>
      </w:tr>
      <w:tr w:rsidR="005E35F7" w:rsidRPr="005E35F7" w:rsidTr="00BB7AE7">
        <w:trPr>
          <w:trHeight w:val="172"/>
        </w:trPr>
        <w:tc>
          <w:tcPr>
            <w:tcW w:w="9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Solicitud de baja de impuestos o regímenes - Rechazo por Internet - Trámite presencial</w:t>
            </w:r>
          </w:p>
        </w:tc>
      </w:tr>
      <w:tr w:rsidR="005E35F7" w:rsidRPr="005E35F7" w:rsidTr="00BB7AE7">
        <w:trPr>
          <w:trHeight w:val="158"/>
        </w:trPr>
        <w:tc>
          <w:tcPr>
            <w:tcW w:w="9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5E35F7" w:rsidRPr="005E35F7" w:rsidRDefault="005E35F7" w:rsidP="00BB7AE7">
            <w:pPr>
              <w:spacing w:after="0" w:line="240" w:lineRule="auto"/>
              <w:ind w:left="123" w:right="-93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</w:pPr>
            <w:r w:rsidRPr="005E35F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s-ES" w:eastAsia="es-ES"/>
              </w:rPr>
              <w:t>Ejecuciones fiscales - Plan de pago honorarios</w:t>
            </w:r>
          </w:p>
        </w:tc>
      </w:tr>
    </w:tbl>
    <w:p w:rsidR="00EB3E92" w:rsidRDefault="00EB3E92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4439" w:rsidRPr="006B4439" w:rsidRDefault="005E35F7" w:rsidP="00BB7AE7">
      <w:pPr>
        <w:spacing w:before="240" w:after="100" w:line="240" w:lineRule="auto"/>
        <w:ind w:left="105" w:right="-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E35F7" w:rsidRPr="005E35F7" w:rsidRDefault="005E35F7" w:rsidP="00BB7AE7">
      <w:pPr>
        <w:ind w:right="-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561543" w:rsidRPr="00B53FE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5E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FUNCIONALIDADES DEL SERVICIO</w:t>
      </w:r>
      <w:r w:rsidR="00D05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5E3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“PRESENTACIONES DIGITALES”</w:t>
      </w:r>
    </w:p>
    <w:p w:rsidR="00561543" w:rsidRPr="00B53FEB" w:rsidRDefault="00561543" w:rsidP="00BB7AE7">
      <w:pPr>
        <w:spacing w:before="105" w:after="105" w:line="240" w:lineRule="auto"/>
        <w:ind w:left="105" w:right="-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676CF" w:rsidRP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El servicio permitirá efectuar las acciones que se indican a continuación:</w:t>
      </w:r>
    </w:p>
    <w:p w:rsidR="004676CF" w:rsidRP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1. Realizar la presentación digital por un trámite nuevo o uno relacionado con una presentación complementaria/anterior, pudiendo indicar -en su caso- la opción "Pronto Despacho".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2. Visualizar el estado de la gestión de la presentación realizada, con alguno de los siguientes estados: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- Borrador: clasificación asignada hasta tanto la presentación digital no sea enviada.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- Asociada a principal: clasificación asignada a la presentación digital complementaria de un trámite principal presentado.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- Enviada: clasificación asignada a la presentación digital admitida.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El sistema otorgará un número de solicitud para su seguimiento y la remitirá al área competente para su tratamiento teniendo en cuenta el trámite seleccionado y la dependencia de su jurisdicción.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- En curso: clasificación asignada a la presentación digital recibida por el área interviniente.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- Finalizada: clasificación asignada a la presentación digital resuelta.</w:t>
      </w:r>
    </w:p>
    <w:p w:rsidR="004676CF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CF">
        <w:rPr>
          <w:rFonts w:ascii="Times New Roman" w:eastAsia="Times New Roman" w:hAnsi="Times New Roman" w:cs="Times New Roman"/>
          <w:sz w:val="24"/>
        </w:rPr>
        <w:t xml:space="preserve">- </w:t>
      </w:r>
      <w:r w:rsidRPr="004676CF">
        <w:rPr>
          <w:rFonts w:ascii="Times New Roman" w:eastAsia="Times New Roman" w:hAnsi="Times New Roman" w:cs="Times New Roman"/>
          <w:sz w:val="24"/>
          <w:szCs w:val="24"/>
        </w:rPr>
        <w:t>Puesta a disposición de otros sistemas.</w:t>
      </w:r>
    </w:p>
    <w:p w:rsidR="004676CF" w:rsidRPr="004676CF" w:rsidRDefault="004676CF" w:rsidP="00BB7AE7">
      <w:pPr>
        <w:pStyle w:val="Sinespaciado"/>
        <w:ind w:right="-93"/>
        <w:rPr>
          <w:rFonts w:ascii="Times New Roman" w:hAnsi="Times New Roman" w:cs="Times New Roman"/>
          <w:sz w:val="24"/>
          <w:szCs w:val="24"/>
        </w:rPr>
      </w:pPr>
      <w:r w:rsidRPr="004676CF">
        <w:rPr>
          <w:rFonts w:ascii="Times New Roman" w:hAnsi="Times New Roman" w:cs="Times New Roman"/>
          <w:sz w:val="24"/>
          <w:szCs w:val="24"/>
        </w:rPr>
        <w:t>3. Cancelar, guardar y enviar la presentación digital realizada.</w:t>
      </w:r>
    </w:p>
    <w:p w:rsidR="004676CF" w:rsidRPr="004676CF" w:rsidRDefault="004676CF" w:rsidP="00BB7AE7">
      <w:pPr>
        <w:pStyle w:val="Sinespaciado"/>
        <w:ind w:right="-93"/>
        <w:rPr>
          <w:rFonts w:ascii="Times New Roman" w:hAnsi="Times New Roman" w:cs="Times New Roman"/>
          <w:sz w:val="24"/>
          <w:szCs w:val="24"/>
        </w:rPr>
      </w:pPr>
      <w:r w:rsidRPr="004676CF">
        <w:rPr>
          <w:rFonts w:ascii="Times New Roman" w:hAnsi="Times New Roman" w:cs="Times New Roman"/>
          <w:sz w:val="24"/>
          <w:szCs w:val="24"/>
        </w:rPr>
        <w:t>4. Eliminar la presentación digital clasificada en estado borrador.</w:t>
      </w:r>
    </w:p>
    <w:p w:rsidR="004676CF" w:rsidRPr="004676CF" w:rsidRDefault="004676CF" w:rsidP="00BB7AE7">
      <w:pPr>
        <w:pStyle w:val="Sinespaciado"/>
        <w:ind w:right="-93"/>
        <w:rPr>
          <w:rFonts w:ascii="Times New Roman" w:hAnsi="Times New Roman" w:cs="Times New Roman"/>
          <w:sz w:val="24"/>
          <w:szCs w:val="24"/>
        </w:rPr>
      </w:pPr>
      <w:r w:rsidRPr="004676CF">
        <w:rPr>
          <w:rFonts w:ascii="Times New Roman" w:hAnsi="Times New Roman" w:cs="Times New Roman"/>
          <w:sz w:val="24"/>
          <w:szCs w:val="24"/>
        </w:rPr>
        <w:t>5. Desistir la solicitud efectuada cuando la misma no se encuentre finalizada.</w:t>
      </w:r>
    </w:p>
    <w:p w:rsidR="004676CF" w:rsidRPr="004676CF" w:rsidRDefault="004676CF" w:rsidP="00BB7AE7">
      <w:pPr>
        <w:pStyle w:val="Sinespaciado"/>
        <w:ind w:right="-93"/>
        <w:rPr>
          <w:rFonts w:ascii="Times New Roman" w:hAnsi="Times New Roman" w:cs="Times New Roman"/>
          <w:sz w:val="24"/>
          <w:szCs w:val="24"/>
        </w:rPr>
      </w:pPr>
      <w:r w:rsidRPr="004676CF">
        <w:rPr>
          <w:rFonts w:ascii="Times New Roman" w:hAnsi="Times New Roman" w:cs="Times New Roman"/>
          <w:sz w:val="24"/>
          <w:szCs w:val="24"/>
        </w:rPr>
        <w:t>6. Imprimir copia de la presentación o comunicación efectuada.</w:t>
      </w:r>
    </w:p>
    <w:p w:rsidR="00632472" w:rsidRDefault="004676CF" w:rsidP="00BB7AE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</w:rPr>
      </w:pPr>
      <w:r w:rsidRPr="004676CF">
        <w:rPr>
          <w:rFonts w:ascii="Times New Roman" w:eastAsia="Times New Roman" w:hAnsi="Times New Roman" w:cs="Times New Roman"/>
          <w:sz w:val="24"/>
        </w:rPr>
        <w:t>7. Adjuntar archivos hasta un máximo de 20 MB en formato “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pdf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doc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docx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xls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xlsx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jpg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jpeg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png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bmp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gif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tiff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tif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4676CF">
        <w:rPr>
          <w:rFonts w:ascii="Times New Roman" w:eastAsia="Times New Roman" w:hAnsi="Times New Roman" w:cs="Times New Roman"/>
          <w:sz w:val="24"/>
        </w:rPr>
        <w:t>dwf</w:t>
      </w:r>
      <w:proofErr w:type="spellEnd"/>
      <w:r w:rsidRPr="004676CF">
        <w:rPr>
          <w:rFonts w:ascii="Times New Roman" w:eastAsia="Times New Roman" w:hAnsi="Times New Roman" w:cs="Times New Roman"/>
          <w:sz w:val="24"/>
        </w:rPr>
        <w:t>”. De exceder los máximos establecidos deberán generarse tantas presentaciones complementarias como fuera necesario o, eventualmente, concurrir a la dependencia a los efectos de recibir asistencia para completar el aporte de la documentación correspondiente.</w:t>
      </w:r>
    </w:p>
    <w:sectPr w:rsidR="00632472" w:rsidSect="00795B64">
      <w:head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24" w:rsidRDefault="00993424" w:rsidP="006B4439">
      <w:pPr>
        <w:spacing w:after="0" w:line="240" w:lineRule="auto"/>
      </w:pPr>
      <w:r>
        <w:separator/>
      </w:r>
    </w:p>
  </w:endnote>
  <w:endnote w:type="continuationSeparator" w:id="1">
    <w:p w:rsidR="00993424" w:rsidRDefault="00993424" w:rsidP="006B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24" w:rsidRDefault="00993424" w:rsidP="006B4439">
      <w:pPr>
        <w:spacing w:after="0" w:line="240" w:lineRule="auto"/>
      </w:pPr>
      <w:r>
        <w:separator/>
      </w:r>
    </w:p>
  </w:footnote>
  <w:footnote w:type="continuationSeparator" w:id="1">
    <w:p w:rsidR="00993424" w:rsidRDefault="00993424" w:rsidP="006B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24" w:rsidRPr="006B4439" w:rsidRDefault="00993424" w:rsidP="006B4439">
    <w:pPr>
      <w:pStyle w:val="Encabezado"/>
      <w:pBdr>
        <w:bottom w:val="single" w:sz="12" w:space="1" w:color="000080"/>
      </w:pBdr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</w:p>
  <w:p w:rsidR="00993424" w:rsidRPr="006B4439" w:rsidRDefault="00993424" w:rsidP="006B4439">
    <w:pPr>
      <w:pStyle w:val="Encabezado"/>
      <w:pBdr>
        <w:bottom w:val="single" w:sz="12" w:space="1" w:color="000080"/>
      </w:pBdr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 w:rsidRPr="006B4439">
      <w:rPr>
        <w:rFonts w:ascii="Times New Roman" w:eastAsia="Times New Roman" w:hAnsi="Times New Roman" w:cs="Times New Roman"/>
        <w:b/>
        <w:color w:val="000080"/>
        <w:sz w:val="24"/>
        <w:szCs w:val="24"/>
      </w:rPr>
      <w:t>FABETTI, BERTANI &amp; ASOCIADOS.</w:t>
    </w:r>
  </w:p>
  <w:p w:rsidR="00993424" w:rsidRPr="006B4439" w:rsidRDefault="00993424" w:rsidP="006B4439">
    <w:pPr>
      <w:pStyle w:val="Encabezado"/>
      <w:rPr>
        <w:rFonts w:ascii="Times New Roman" w:eastAsia="Times New Roman" w:hAnsi="Times New Roman" w:cs="Times New Roman"/>
        <w:sz w:val="24"/>
        <w:szCs w:val="24"/>
      </w:rPr>
    </w:pPr>
  </w:p>
  <w:p w:rsidR="00993424" w:rsidRPr="006B4439" w:rsidRDefault="00993424" w:rsidP="006B44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2A5"/>
    <w:multiLevelType w:val="multilevel"/>
    <w:tmpl w:val="461E5A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B097A"/>
    <w:multiLevelType w:val="hybridMultilevel"/>
    <w:tmpl w:val="654C8E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279C"/>
    <w:multiLevelType w:val="hybridMultilevel"/>
    <w:tmpl w:val="DC60EBFE"/>
    <w:lvl w:ilvl="0" w:tplc="0C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68A65A4"/>
    <w:multiLevelType w:val="hybridMultilevel"/>
    <w:tmpl w:val="E60E6D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A75"/>
    <w:multiLevelType w:val="hybridMultilevel"/>
    <w:tmpl w:val="FF4A76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83585"/>
    <w:multiLevelType w:val="multilevel"/>
    <w:tmpl w:val="D0004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A0A7E"/>
    <w:multiLevelType w:val="multilevel"/>
    <w:tmpl w:val="6CF42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73749"/>
    <w:multiLevelType w:val="multilevel"/>
    <w:tmpl w:val="52981E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41839"/>
    <w:multiLevelType w:val="hybridMultilevel"/>
    <w:tmpl w:val="D47AFFF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176FF"/>
    <w:multiLevelType w:val="hybridMultilevel"/>
    <w:tmpl w:val="C002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063D1"/>
    <w:multiLevelType w:val="hybridMultilevel"/>
    <w:tmpl w:val="CF822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03B13"/>
    <w:multiLevelType w:val="hybridMultilevel"/>
    <w:tmpl w:val="32B82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15226"/>
    <w:multiLevelType w:val="hybridMultilevel"/>
    <w:tmpl w:val="841A4B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D47DD7"/>
    <w:multiLevelType w:val="hybridMultilevel"/>
    <w:tmpl w:val="EE225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25B7A"/>
    <w:multiLevelType w:val="hybridMultilevel"/>
    <w:tmpl w:val="5CA244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716DF"/>
    <w:multiLevelType w:val="multilevel"/>
    <w:tmpl w:val="30A8F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C3C88"/>
    <w:multiLevelType w:val="hybridMultilevel"/>
    <w:tmpl w:val="C76E4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C63D1"/>
    <w:multiLevelType w:val="hybridMultilevel"/>
    <w:tmpl w:val="55B453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83A44"/>
    <w:multiLevelType w:val="hybridMultilevel"/>
    <w:tmpl w:val="37B454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01B1A"/>
    <w:multiLevelType w:val="multilevel"/>
    <w:tmpl w:val="E9C6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C1452"/>
    <w:multiLevelType w:val="hybridMultilevel"/>
    <w:tmpl w:val="7846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83ED4"/>
    <w:multiLevelType w:val="hybridMultilevel"/>
    <w:tmpl w:val="07DCCC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458F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5547E"/>
    <w:multiLevelType w:val="multilevel"/>
    <w:tmpl w:val="5E1C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FA816A2"/>
    <w:multiLevelType w:val="hybridMultilevel"/>
    <w:tmpl w:val="0590B628"/>
    <w:lvl w:ilvl="0" w:tplc="2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5306121"/>
    <w:multiLevelType w:val="hybridMultilevel"/>
    <w:tmpl w:val="E368C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85F2C"/>
    <w:multiLevelType w:val="multilevel"/>
    <w:tmpl w:val="B3625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175F9"/>
    <w:multiLevelType w:val="hybridMultilevel"/>
    <w:tmpl w:val="525ACF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3463A"/>
    <w:multiLevelType w:val="hybridMultilevel"/>
    <w:tmpl w:val="A6E88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D7A1F"/>
    <w:multiLevelType w:val="hybridMultilevel"/>
    <w:tmpl w:val="76AE5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B5237"/>
    <w:multiLevelType w:val="hybridMultilevel"/>
    <w:tmpl w:val="AA88C4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31A9F"/>
    <w:multiLevelType w:val="hybridMultilevel"/>
    <w:tmpl w:val="BCD02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4A4E"/>
    <w:multiLevelType w:val="multilevel"/>
    <w:tmpl w:val="8E32C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01DCC"/>
    <w:multiLevelType w:val="multilevel"/>
    <w:tmpl w:val="DA3CC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E6067C"/>
    <w:multiLevelType w:val="multilevel"/>
    <w:tmpl w:val="E3F24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3E9C"/>
    <w:multiLevelType w:val="hybridMultilevel"/>
    <w:tmpl w:val="6E5C2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2"/>
  </w:num>
  <w:num w:numId="4">
    <w:abstractNumId w:val="34"/>
  </w:num>
  <w:num w:numId="5">
    <w:abstractNumId w:val="15"/>
  </w:num>
  <w:num w:numId="6">
    <w:abstractNumId w:val="33"/>
  </w:num>
  <w:num w:numId="7">
    <w:abstractNumId w:val="24"/>
  </w:num>
  <w:num w:numId="8">
    <w:abstractNumId w:val="26"/>
  </w:num>
  <w:num w:numId="9">
    <w:abstractNumId w:val="3"/>
  </w:num>
  <w:num w:numId="10">
    <w:abstractNumId w:val="27"/>
  </w:num>
  <w:num w:numId="11">
    <w:abstractNumId w:val="30"/>
  </w:num>
  <w:num w:numId="12">
    <w:abstractNumId w:val="13"/>
  </w:num>
  <w:num w:numId="13">
    <w:abstractNumId w:val="22"/>
  </w:num>
  <w:num w:numId="14">
    <w:abstractNumId w:val="5"/>
  </w:num>
  <w:num w:numId="15">
    <w:abstractNumId w:val="23"/>
  </w:num>
  <w:num w:numId="16">
    <w:abstractNumId w:val="4"/>
  </w:num>
  <w:num w:numId="17">
    <w:abstractNumId w:val="7"/>
  </w:num>
  <w:num w:numId="18">
    <w:abstractNumId w:val="2"/>
  </w:num>
  <w:num w:numId="19">
    <w:abstractNumId w:val="16"/>
  </w:num>
  <w:num w:numId="20">
    <w:abstractNumId w:val="17"/>
  </w:num>
  <w:num w:numId="21">
    <w:abstractNumId w:val="19"/>
  </w:num>
  <w:num w:numId="22">
    <w:abstractNumId w:val="35"/>
  </w:num>
  <w:num w:numId="23">
    <w:abstractNumId w:val="9"/>
  </w:num>
  <w:num w:numId="24">
    <w:abstractNumId w:val="0"/>
  </w:num>
  <w:num w:numId="25">
    <w:abstractNumId w:val="25"/>
  </w:num>
  <w:num w:numId="26">
    <w:abstractNumId w:val="18"/>
  </w:num>
  <w:num w:numId="27">
    <w:abstractNumId w:val="8"/>
  </w:num>
  <w:num w:numId="28">
    <w:abstractNumId w:val="31"/>
  </w:num>
  <w:num w:numId="29">
    <w:abstractNumId w:val="14"/>
  </w:num>
  <w:num w:numId="30">
    <w:abstractNumId w:val="21"/>
  </w:num>
  <w:num w:numId="31">
    <w:abstractNumId w:val="29"/>
  </w:num>
  <w:num w:numId="32">
    <w:abstractNumId w:val="28"/>
  </w:num>
  <w:num w:numId="33">
    <w:abstractNumId w:val="12"/>
  </w:num>
  <w:num w:numId="34">
    <w:abstractNumId w:val="1"/>
  </w:num>
  <w:num w:numId="35">
    <w:abstractNumId w:val="11"/>
  </w:num>
  <w:num w:numId="36">
    <w:abstractNumId w:val="36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472"/>
    <w:rsid w:val="000A5212"/>
    <w:rsid w:val="000D3F85"/>
    <w:rsid w:val="000F7F61"/>
    <w:rsid w:val="00120526"/>
    <w:rsid w:val="00134692"/>
    <w:rsid w:val="001417BE"/>
    <w:rsid w:val="00151294"/>
    <w:rsid w:val="001D5FEB"/>
    <w:rsid w:val="002C11C6"/>
    <w:rsid w:val="00320569"/>
    <w:rsid w:val="00345CA0"/>
    <w:rsid w:val="00351763"/>
    <w:rsid w:val="003E7A34"/>
    <w:rsid w:val="004676CF"/>
    <w:rsid w:val="004A00C7"/>
    <w:rsid w:val="004C2082"/>
    <w:rsid w:val="00534EAC"/>
    <w:rsid w:val="005356FD"/>
    <w:rsid w:val="00561543"/>
    <w:rsid w:val="005A2C6A"/>
    <w:rsid w:val="005E35F7"/>
    <w:rsid w:val="0061499A"/>
    <w:rsid w:val="00632472"/>
    <w:rsid w:val="00646ABA"/>
    <w:rsid w:val="00682716"/>
    <w:rsid w:val="00682C43"/>
    <w:rsid w:val="006B4439"/>
    <w:rsid w:val="00721887"/>
    <w:rsid w:val="00783578"/>
    <w:rsid w:val="00795B64"/>
    <w:rsid w:val="007B116A"/>
    <w:rsid w:val="007F3BDB"/>
    <w:rsid w:val="00830DE1"/>
    <w:rsid w:val="00847931"/>
    <w:rsid w:val="00877F50"/>
    <w:rsid w:val="008C06DB"/>
    <w:rsid w:val="008F4CF1"/>
    <w:rsid w:val="0091407C"/>
    <w:rsid w:val="0093689A"/>
    <w:rsid w:val="00966D3D"/>
    <w:rsid w:val="00993424"/>
    <w:rsid w:val="00994471"/>
    <w:rsid w:val="0099635E"/>
    <w:rsid w:val="009B027D"/>
    <w:rsid w:val="009D0E42"/>
    <w:rsid w:val="009D0F82"/>
    <w:rsid w:val="00A66EEA"/>
    <w:rsid w:val="00AF2CD3"/>
    <w:rsid w:val="00B53FEB"/>
    <w:rsid w:val="00BB74E7"/>
    <w:rsid w:val="00BB7AE7"/>
    <w:rsid w:val="00BD35C2"/>
    <w:rsid w:val="00C53A32"/>
    <w:rsid w:val="00C96F3B"/>
    <w:rsid w:val="00CB57BF"/>
    <w:rsid w:val="00D0560E"/>
    <w:rsid w:val="00D45599"/>
    <w:rsid w:val="00D71641"/>
    <w:rsid w:val="00DB7CB8"/>
    <w:rsid w:val="00E56725"/>
    <w:rsid w:val="00E62419"/>
    <w:rsid w:val="00E96845"/>
    <w:rsid w:val="00E971B5"/>
    <w:rsid w:val="00EB1D16"/>
    <w:rsid w:val="00EB3E92"/>
    <w:rsid w:val="00ED0394"/>
    <w:rsid w:val="00ED34A2"/>
    <w:rsid w:val="00EE2718"/>
    <w:rsid w:val="00EF51C8"/>
    <w:rsid w:val="00F30824"/>
    <w:rsid w:val="00F84F8D"/>
    <w:rsid w:val="00FB2FA2"/>
    <w:rsid w:val="00FD0761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2dofrancesnovedades">
    <w:name w:val="errepar_2do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epar3erfrancesnovedades">
    <w:name w:val="errepar_3erfrances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pervnculo">
    <w:name w:val="hipervnculo"/>
    <w:basedOn w:val="Fuentedeprrafopredeter"/>
    <w:rsid w:val="007F3BDB"/>
  </w:style>
  <w:style w:type="paragraph" w:customStyle="1" w:styleId="sangrianovedades">
    <w:name w:val="sangri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donegritanovedades">
    <w:name w:val="textocentradonegritanovedades"/>
    <w:basedOn w:val="Normal"/>
    <w:rsid w:val="007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45599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61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acentrado8">
    <w:name w:val="tablacentrado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561543"/>
  </w:style>
  <w:style w:type="paragraph" w:customStyle="1" w:styleId="tablaizquierda8">
    <w:name w:val="tablaizquierda8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8novedades">
    <w:name w:val="texto8novedades"/>
    <w:basedOn w:val="Normal"/>
    <w:rsid w:val="005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E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994471"/>
    <w:pPr>
      <w:spacing w:after="0" w:line="240" w:lineRule="auto"/>
      <w:ind w:right="104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447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439"/>
  </w:style>
  <w:style w:type="paragraph" w:styleId="Piedepgina">
    <w:name w:val="footer"/>
    <w:basedOn w:val="Normal"/>
    <w:link w:val="PiedepginaCar"/>
    <w:uiPriority w:val="99"/>
    <w:semiHidden/>
    <w:unhideWhenUsed/>
    <w:rsid w:val="006B4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439"/>
  </w:style>
  <w:style w:type="paragraph" w:styleId="Sinespaciado">
    <w:name w:val="No Spacing"/>
    <w:uiPriority w:val="1"/>
    <w:qFormat/>
    <w:rsid w:val="004676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E110-02EE-41D6-B6D9-0759D75C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Justiparan</dc:creator>
  <cp:lastModifiedBy>Paola Fontao</cp:lastModifiedBy>
  <cp:revision>5</cp:revision>
  <cp:lastPrinted>2019-06-14T19:12:00Z</cp:lastPrinted>
  <dcterms:created xsi:type="dcterms:W3CDTF">2019-06-14T19:14:00Z</dcterms:created>
  <dcterms:modified xsi:type="dcterms:W3CDTF">2019-06-27T22:36:00Z</dcterms:modified>
</cp:coreProperties>
</file>