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E3" w:rsidRDefault="00F355E3" w:rsidP="0006523C">
      <w:pPr>
        <w:pStyle w:val="Ttulo1"/>
        <w:ind w:left="708" w:right="232"/>
        <w:jc w:val="both"/>
        <w:rPr>
          <w:szCs w:val="24"/>
          <w:u w:val="single"/>
          <w:lang w:val="es-AR"/>
        </w:rPr>
      </w:pPr>
    </w:p>
    <w:p w:rsidR="004F08CC" w:rsidRPr="007C11C9" w:rsidRDefault="004F08CC" w:rsidP="0006523C">
      <w:pPr>
        <w:pStyle w:val="Ttulo1"/>
        <w:ind w:left="708" w:right="232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5A4BA8">
        <w:rPr>
          <w:szCs w:val="24"/>
          <w:u w:val="single"/>
          <w:lang w:val="es-AR"/>
        </w:rPr>
        <w:t>9</w:t>
      </w:r>
      <w:r w:rsidR="00D53D66">
        <w:rPr>
          <w:szCs w:val="24"/>
          <w:u w:val="single"/>
          <w:lang w:val="es-AR"/>
        </w:rPr>
        <w:t>8</w:t>
      </w:r>
      <w:r w:rsidR="00F355E3">
        <w:rPr>
          <w:szCs w:val="24"/>
          <w:u w:val="single"/>
          <w:lang w:val="es-AR"/>
        </w:rPr>
        <w:t>3</w:t>
      </w:r>
    </w:p>
    <w:p w:rsidR="008224CF" w:rsidRPr="007C11C9" w:rsidRDefault="008224CF" w:rsidP="0006523C">
      <w:pPr>
        <w:pStyle w:val="Textoindependiente"/>
        <w:ind w:left="708" w:right="232"/>
        <w:rPr>
          <w:szCs w:val="24"/>
          <w:u w:val="single"/>
        </w:rPr>
      </w:pPr>
    </w:p>
    <w:p w:rsidR="000312FA" w:rsidRPr="007C11C9" w:rsidRDefault="000312FA" w:rsidP="0006523C">
      <w:pPr>
        <w:pStyle w:val="Textoindependiente"/>
        <w:ind w:left="708" w:right="232"/>
        <w:rPr>
          <w:szCs w:val="24"/>
          <w:u w:val="single"/>
        </w:rPr>
      </w:pPr>
    </w:p>
    <w:p w:rsidR="004B43B8" w:rsidRDefault="00931D55" w:rsidP="0006523C">
      <w:pPr>
        <w:ind w:left="708" w:right="232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EA703A">
        <w:rPr>
          <w:b/>
          <w:i/>
          <w:sz w:val="24"/>
          <w:szCs w:val="24"/>
        </w:rPr>
        <w:t xml:space="preserve"> </w:t>
      </w:r>
      <w:r w:rsidR="00D53D66">
        <w:rPr>
          <w:b/>
          <w:i/>
          <w:sz w:val="24"/>
          <w:szCs w:val="24"/>
        </w:rPr>
        <w:t>4478</w:t>
      </w:r>
    </w:p>
    <w:p w:rsidR="00903756" w:rsidRDefault="00C34CC0" w:rsidP="0006523C">
      <w:pPr>
        <w:ind w:left="708" w:right="23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5A4BA8">
        <w:rPr>
          <w:b/>
          <w:i/>
          <w:sz w:val="24"/>
          <w:szCs w:val="24"/>
        </w:rPr>
        <w:tab/>
      </w:r>
      <w:r w:rsidR="00D53D66">
        <w:rPr>
          <w:b/>
          <w:i/>
          <w:sz w:val="24"/>
          <w:szCs w:val="24"/>
        </w:rPr>
        <w:t>08/05/2019</w:t>
      </w:r>
    </w:p>
    <w:p w:rsidR="00903756" w:rsidRDefault="00903756" w:rsidP="0006523C">
      <w:pPr>
        <w:ind w:left="708" w:right="23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D53D66">
        <w:rPr>
          <w:b/>
          <w:i/>
          <w:sz w:val="24"/>
          <w:szCs w:val="24"/>
        </w:rPr>
        <w:t>09/05/2019</w:t>
      </w:r>
    </w:p>
    <w:p w:rsidR="00AD5AEF" w:rsidRDefault="00AD5AEF" w:rsidP="0006523C">
      <w:pPr>
        <w:widowControl/>
        <w:ind w:left="708" w:right="232"/>
        <w:jc w:val="both"/>
        <w:rPr>
          <w:b/>
          <w:sz w:val="24"/>
          <w:szCs w:val="24"/>
        </w:rPr>
      </w:pPr>
    </w:p>
    <w:p w:rsidR="00F56381" w:rsidRDefault="00F56381" w:rsidP="0006523C">
      <w:pPr>
        <w:widowControl/>
        <w:ind w:left="708" w:right="232"/>
        <w:jc w:val="both"/>
        <w:rPr>
          <w:b/>
          <w:sz w:val="24"/>
          <w:szCs w:val="24"/>
        </w:rPr>
      </w:pPr>
    </w:p>
    <w:p w:rsidR="00EA703A" w:rsidRPr="00D53D66" w:rsidRDefault="00CC2A8F" w:rsidP="0006523C">
      <w:pPr>
        <w:widowControl/>
        <w:ind w:left="708" w:right="23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Impuesto a las Ganancias.</w:t>
      </w:r>
      <w:r w:rsidR="006F11CD">
        <w:rPr>
          <w:b/>
          <w:i/>
          <w:sz w:val="24"/>
          <w:szCs w:val="24"/>
        </w:rPr>
        <w:t xml:space="preserve"> Reforma Tributaria</w:t>
      </w:r>
      <w:r w:rsidR="00335071">
        <w:rPr>
          <w:b/>
          <w:i/>
          <w:sz w:val="24"/>
          <w:szCs w:val="24"/>
        </w:rPr>
        <w:t>.</w:t>
      </w:r>
      <w:r w:rsidR="006F11CD">
        <w:rPr>
          <w:b/>
          <w:i/>
          <w:sz w:val="24"/>
          <w:szCs w:val="24"/>
        </w:rPr>
        <w:t xml:space="preserve"> </w:t>
      </w:r>
      <w:r w:rsidR="00D53D66" w:rsidRPr="00D53D66">
        <w:rPr>
          <w:b/>
          <w:i/>
          <w:sz w:val="24"/>
          <w:szCs w:val="24"/>
        </w:rPr>
        <w:t>Retención sobre dividendos y utilidades asimilables. Se establecen los plazos, formas y condiciones para efectuar el ingreso de las retenciones</w:t>
      </w:r>
      <w:r>
        <w:rPr>
          <w:b/>
          <w:i/>
          <w:sz w:val="24"/>
          <w:szCs w:val="24"/>
        </w:rPr>
        <w:t xml:space="preserve">. </w:t>
      </w:r>
    </w:p>
    <w:p w:rsidR="00FB10CC" w:rsidRDefault="00FB10CC" w:rsidP="0006523C">
      <w:pPr>
        <w:ind w:left="709" w:right="232"/>
        <w:jc w:val="both"/>
        <w:rPr>
          <w:sz w:val="24"/>
          <w:szCs w:val="24"/>
        </w:rPr>
      </w:pPr>
    </w:p>
    <w:p w:rsidR="00D53D66" w:rsidRDefault="00D53D66" w:rsidP="0006523C">
      <w:pPr>
        <w:ind w:left="709" w:right="232"/>
        <w:jc w:val="both"/>
        <w:rPr>
          <w:iCs/>
          <w:color w:val="000000"/>
          <w:sz w:val="24"/>
          <w:szCs w:val="24"/>
        </w:rPr>
      </w:pPr>
      <w:r w:rsidRPr="00D53D66">
        <w:rPr>
          <w:sz w:val="24"/>
          <w:szCs w:val="24"/>
        </w:rPr>
        <w:t xml:space="preserve">A través de la Resolución General Nº 4478 la Administración Federal de Ingresos Públicos </w:t>
      </w:r>
      <w:r w:rsidRPr="00D53D66">
        <w:rPr>
          <w:iCs/>
          <w:color w:val="000000"/>
          <w:sz w:val="24"/>
          <w:szCs w:val="24"/>
        </w:rPr>
        <w:t>establece el régimen de retención aplicable a los dividendos y utilidades asimilables que se paguen o pongan a disposición de las personas humanas y sucesiones indivisas residentes en el país y de los beneficiarios del exterior,</w:t>
      </w:r>
      <w:r w:rsidR="00F355E3">
        <w:rPr>
          <w:iCs/>
          <w:color w:val="000000"/>
          <w:sz w:val="24"/>
          <w:szCs w:val="24"/>
        </w:rPr>
        <w:t xml:space="preserve"> </w:t>
      </w:r>
      <w:r w:rsidRPr="00D53D66">
        <w:rPr>
          <w:iCs/>
          <w:color w:val="000000"/>
          <w:sz w:val="24"/>
          <w:szCs w:val="24"/>
        </w:rPr>
        <w:t xml:space="preserve">correspondiente a ejercicios o años fiscales iniciados a partir del </w:t>
      </w:r>
      <w:r w:rsidR="0018247D">
        <w:rPr>
          <w:iCs/>
          <w:color w:val="000000"/>
          <w:sz w:val="24"/>
          <w:szCs w:val="24"/>
        </w:rPr>
        <w:t xml:space="preserve">01 de enero de 2018. </w:t>
      </w:r>
    </w:p>
    <w:p w:rsidR="00D53D66" w:rsidRDefault="00D53D66" w:rsidP="0006523C">
      <w:pPr>
        <w:ind w:left="709" w:right="232"/>
        <w:jc w:val="both"/>
        <w:rPr>
          <w:sz w:val="24"/>
          <w:szCs w:val="24"/>
          <w:lang w:val="es-ES" w:eastAsia="es-ES"/>
        </w:rPr>
      </w:pPr>
    </w:p>
    <w:p w:rsidR="00F355E3" w:rsidRDefault="00F355E3" w:rsidP="0006523C">
      <w:pPr>
        <w:ind w:left="709" w:right="232"/>
        <w:jc w:val="both"/>
        <w:rPr>
          <w:sz w:val="24"/>
          <w:szCs w:val="24"/>
          <w:lang w:val="es-ES" w:eastAsia="es-ES"/>
        </w:rPr>
      </w:pPr>
    </w:p>
    <w:p w:rsidR="00D53D66" w:rsidRDefault="00D53D66" w:rsidP="0006523C">
      <w:pPr>
        <w:ind w:left="709"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a continuación las principales características del </w:t>
      </w:r>
      <w:r w:rsidR="00E1668E">
        <w:rPr>
          <w:sz w:val="24"/>
          <w:szCs w:val="24"/>
        </w:rPr>
        <w:t>r</w:t>
      </w:r>
      <w:r>
        <w:rPr>
          <w:sz w:val="24"/>
          <w:szCs w:val="24"/>
        </w:rPr>
        <w:t>égimen:</w:t>
      </w:r>
    </w:p>
    <w:p w:rsidR="00D53D66" w:rsidRDefault="00D53D66" w:rsidP="0006523C">
      <w:pPr>
        <w:ind w:left="709" w:right="232"/>
        <w:jc w:val="both"/>
        <w:rPr>
          <w:sz w:val="24"/>
          <w:szCs w:val="24"/>
          <w:highlight w:val="yellow"/>
        </w:rPr>
      </w:pPr>
    </w:p>
    <w:p w:rsidR="00E1668E" w:rsidRDefault="00E1668E" w:rsidP="0006523C">
      <w:pPr>
        <w:ind w:left="709" w:right="232"/>
        <w:jc w:val="both"/>
        <w:rPr>
          <w:sz w:val="24"/>
          <w:szCs w:val="24"/>
          <w:highlight w:val="yellow"/>
        </w:rPr>
      </w:pPr>
    </w:p>
    <w:p w:rsidR="00D53D66" w:rsidRDefault="00D53D66" w:rsidP="00E1668E">
      <w:pPr>
        <w:pStyle w:val="Prrafodelista"/>
        <w:widowControl/>
        <w:numPr>
          <w:ilvl w:val="0"/>
          <w:numId w:val="2"/>
        </w:numPr>
        <w:ind w:left="1134" w:right="232"/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Sujetos obligados a practicar la retención</w:t>
      </w:r>
    </w:p>
    <w:p w:rsidR="00D53D66" w:rsidRDefault="00D53D66" w:rsidP="0006523C">
      <w:pPr>
        <w:widowControl/>
        <w:ind w:right="232"/>
        <w:jc w:val="both"/>
        <w:rPr>
          <w:b/>
          <w:bCs/>
          <w:sz w:val="24"/>
          <w:szCs w:val="24"/>
          <w:u w:val="single"/>
          <w:lang w:val="es-ES" w:eastAsia="es-ES"/>
        </w:rPr>
      </w:pP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  <w:r w:rsidRPr="00D53D66">
        <w:rPr>
          <w:sz w:val="24"/>
          <w:szCs w:val="24"/>
        </w:rPr>
        <w:t>Debe</w:t>
      </w:r>
      <w:r w:rsidR="00E1668E">
        <w:rPr>
          <w:sz w:val="24"/>
          <w:szCs w:val="24"/>
        </w:rPr>
        <w:t>rá</w:t>
      </w:r>
      <w:r w:rsidRPr="00D53D66">
        <w:rPr>
          <w:sz w:val="24"/>
          <w:szCs w:val="24"/>
        </w:rPr>
        <w:t>n actuar como agentes de retención las entidades pagadoras de los dividendos y utilidades asimilables. Las sociedades gerentes y/o depositarias de los fondos comunes de inversión abiertos deberán retener el impuesto en el momento del rescate y/o pago de distribución de utilidades cuando el monto del rescate y/o pago o distribución incluya dividendos o utilidades comprendidos en el presente régimen. </w:t>
      </w: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E1668E" w:rsidRDefault="00E1668E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D53D66" w:rsidRDefault="00D53D66" w:rsidP="00E1668E">
      <w:pPr>
        <w:pStyle w:val="Prrafodelista"/>
        <w:widowControl/>
        <w:numPr>
          <w:ilvl w:val="0"/>
          <w:numId w:val="2"/>
        </w:numPr>
        <w:ind w:left="1134" w:right="232"/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Determinación del importe a retener</w:t>
      </w:r>
    </w:p>
    <w:p w:rsidR="00D53D66" w:rsidRDefault="00D53D66" w:rsidP="0006523C">
      <w:pPr>
        <w:widowControl/>
        <w:ind w:right="232"/>
        <w:jc w:val="both"/>
        <w:rPr>
          <w:b/>
          <w:bCs/>
          <w:sz w:val="24"/>
          <w:szCs w:val="24"/>
          <w:u w:val="single"/>
          <w:lang w:val="es-ES" w:eastAsia="es-ES"/>
        </w:rPr>
      </w:pP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  <w:r w:rsidRPr="00D53D66">
        <w:rPr>
          <w:sz w:val="24"/>
          <w:szCs w:val="24"/>
        </w:rPr>
        <w:t>El importe a retener se determinará aplicando sobre los dividendos y utilidades, las alícuotas que, según el período fiscal en que se generen, se indican a continuación:</w:t>
      </w:r>
    </w:p>
    <w:p w:rsidR="00D53D66" w:rsidRP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9D7E85" w:rsidRDefault="00D53D66" w:rsidP="0006523C">
      <w:pPr>
        <w:pStyle w:val="Prrafodelista"/>
        <w:numPr>
          <w:ilvl w:val="0"/>
          <w:numId w:val="6"/>
        </w:numPr>
        <w:ind w:right="232"/>
        <w:jc w:val="both"/>
        <w:rPr>
          <w:sz w:val="24"/>
          <w:szCs w:val="24"/>
        </w:rPr>
      </w:pPr>
      <w:r w:rsidRPr="00D53D66">
        <w:rPr>
          <w:sz w:val="24"/>
          <w:szCs w:val="24"/>
        </w:rPr>
        <w:t xml:space="preserve">Períodos iniciados a partir del 1 de enero de 2018 y hasta el 31 de diciembre de 2019: </w:t>
      </w:r>
      <w:r w:rsidR="007A2D9F">
        <w:rPr>
          <w:sz w:val="24"/>
          <w:szCs w:val="24"/>
        </w:rPr>
        <w:t>7%</w:t>
      </w:r>
    </w:p>
    <w:p w:rsidR="00DB3AF7" w:rsidRPr="00AE10C8" w:rsidRDefault="00DB3AF7" w:rsidP="0006523C">
      <w:pPr>
        <w:pStyle w:val="Prrafodelista"/>
        <w:ind w:left="1069" w:right="232"/>
        <w:jc w:val="both"/>
        <w:rPr>
          <w:sz w:val="24"/>
          <w:szCs w:val="24"/>
        </w:rPr>
      </w:pP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  <w:r w:rsidRPr="00D53D66">
        <w:rPr>
          <w:sz w:val="24"/>
          <w:szCs w:val="24"/>
        </w:rPr>
        <w:t xml:space="preserve">b) </w:t>
      </w:r>
      <w:r w:rsidR="00F70978">
        <w:rPr>
          <w:sz w:val="24"/>
          <w:szCs w:val="24"/>
        </w:rPr>
        <w:t xml:space="preserve"> </w:t>
      </w:r>
      <w:r w:rsidRPr="00D53D66">
        <w:rPr>
          <w:sz w:val="24"/>
          <w:szCs w:val="24"/>
        </w:rPr>
        <w:t xml:space="preserve">Períodos que se inicien a partir del 1 de enero de 2020, inclusive: </w:t>
      </w:r>
      <w:r w:rsidR="007A2D9F">
        <w:rPr>
          <w:sz w:val="24"/>
          <w:szCs w:val="24"/>
        </w:rPr>
        <w:t>13%</w:t>
      </w: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D53D66" w:rsidRDefault="00D53D66" w:rsidP="00E1668E">
      <w:pPr>
        <w:pStyle w:val="Prrafodelista"/>
        <w:widowControl/>
        <w:numPr>
          <w:ilvl w:val="0"/>
          <w:numId w:val="2"/>
        </w:numPr>
        <w:ind w:left="1134" w:right="232"/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Ingreso de la retención</w:t>
      </w:r>
    </w:p>
    <w:p w:rsidR="00D53D66" w:rsidRDefault="00D53D66" w:rsidP="0006523C">
      <w:pPr>
        <w:widowControl/>
        <w:spacing w:before="80"/>
        <w:ind w:left="1069" w:right="232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</w:p>
    <w:p w:rsidR="00D53D66" w:rsidRPr="00D53D66" w:rsidRDefault="00D53D66" w:rsidP="0006523C">
      <w:pPr>
        <w:pStyle w:val="Prrafodelista"/>
        <w:ind w:left="709" w:right="232"/>
        <w:jc w:val="both"/>
        <w:rPr>
          <w:sz w:val="24"/>
          <w:szCs w:val="24"/>
        </w:rPr>
      </w:pPr>
      <w:r w:rsidRPr="00D53D66">
        <w:rPr>
          <w:sz w:val="24"/>
          <w:szCs w:val="24"/>
        </w:rPr>
        <w:t>Cuando los beneficiarios de las rentas sometidas a retención sean sujetos residentes en el país, las retenciones respectivas deberán informarse e ingresarse observando los procedimientos, plazos y demás condiciones establecidos para el Sistema de Control de Retenciones (SICORE), utilizando los siguientes códigos:</w:t>
      </w:r>
    </w:p>
    <w:p w:rsidR="00D53D66" w:rsidRDefault="00D53D66" w:rsidP="0006523C">
      <w:pPr>
        <w:widowControl/>
        <w:spacing w:before="105" w:after="105"/>
        <w:ind w:left="1069" w:right="232"/>
        <w:rPr>
          <w:color w:val="000000"/>
          <w:sz w:val="24"/>
          <w:szCs w:val="24"/>
          <w:lang w:val="es-ES" w:eastAsia="es-ES"/>
        </w:rPr>
      </w:pPr>
    </w:p>
    <w:p w:rsidR="00EC7257" w:rsidRDefault="00EC7257" w:rsidP="0006523C">
      <w:pPr>
        <w:widowControl/>
        <w:spacing w:before="105" w:after="105"/>
        <w:ind w:left="1069" w:right="232"/>
        <w:rPr>
          <w:color w:val="000000"/>
          <w:sz w:val="24"/>
          <w:szCs w:val="24"/>
          <w:lang w:val="es-ES" w:eastAsia="es-ES"/>
        </w:rPr>
      </w:pPr>
    </w:p>
    <w:p w:rsidR="00EC7257" w:rsidRDefault="00EC7257" w:rsidP="0006523C">
      <w:pPr>
        <w:widowControl/>
        <w:spacing w:before="105" w:after="105"/>
        <w:ind w:left="1069" w:right="232"/>
        <w:rPr>
          <w:color w:val="000000"/>
          <w:sz w:val="24"/>
          <w:szCs w:val="24"/>
          <w:lang w:val="es-ES" w:eastAsia="es-ES"/>
        </w:rPr>
      </w:pPr>
    </w:p>
    <w:p w:rsidR="007A2D9F" w:rsidRDefault="007A2D9F" w:rsidP="0006523C">
      <w:pPr>
        <w:widowControl/>
        <w:spacing w:before="105" w:after="105"/>
        <w:ind w:left="1069" w:right="232"/>
        <w:rPr>
          <w:color w:val="000000"/>
          <w:sz w:val="24"/>
          <w:szCs w:val="24"/>
          <w:lang w:val="es-ES" w:eastAsia="es-ES"/>
        </w:rPr>
      </w:pPr>
    </w:p>
    <w:p w:rsidR="007A2D9F" w:rsidRPr="00D53D66" w:rsidRDefault="007A2D9F" w:rsidP="0006523C">
      <w:pPr>
        <w:widowControl/>
        <w:spacing w:before="105" w:after="105"/>
        <w:ind w:left="1069" w:right="232"/>
        <w:rPr>
          <w:color w:val="000000"/>
          <w:sz w:val="24"/>
          <w:szCs w:val="24"/>
          <w:lang w:val="es-ES" w:eastAsia="es-ES"/>
        </w:rPr>
      </w:pPr>
    </w:p>
    <w:tbl>
      <w:tblPr>
        <w:tblW w:w="9744" w:type="dxa"/>
        <w:tblInd w:w="7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483"/>
        <w:gridCol w:w="6991"/>
      </w:tblGrid>
      <w:tr w:rsidR="00D53D66" w:rsidRPr="00D53D66" w:rsidTr="00E1668E">
        <w:trPr>
          <w:trHeight w:val="172"/>
        </w:trPr>
        <w:tc>
          <w:tcPr>
            <w:tcW w:w="22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Descripción operación</w:t>
            </w:r>
          </w:p>
        </w:tc>
      </w:tr>
      <w:tr w:rsidR="00D53D66" w:rsidRPr="00D53D66" w:rsidTr="00E1668E">
        <w:trPr>
          <w:trHeight w:val="159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Régimen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D53D66" w:rsidRPr="00D53D66" w:rsidTr="00E1668E">
        <w:trPr>
          <w:trHeight w:val="159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Dividendos y utilidades asimilables. Artículo 90.3 de la ley. Alícuota 7%.</w:t>
            </w:r>
          </w:p>
        </w:tc>
      </w:tr>
      <w:tr w:rsidR="00D53D66" w:rsidRPr="00D53D66" w:rsidTr="00E1668E">
        <w:trPr>
          <w:trHeight w:val="159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D66" w:rsidRPr="00D53D66" w:rsidRDefault="00D53D66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D53D6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Dividendos y utilidades asimilables. Artículo 90.3 de la ley. Alícuota 13%.</w:t>
            </w:r>
          </w:p>
        </w:tc>
      </w:tr>
    </w:tbl>
    <w:p w:rsidR="009D7E85" w:rsidRDefault="009D7E85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E26BF4" w:rsidRPr="00E26BF4" w:rsidRDefault="00E26BF4" w:rsidP="0006523C">
      <w:pPr>
        <w:pStyle w:val="Prrafodelista"/>
        <w:ind w:left="709" w:right="232"/>
        <w:jc w:val="both"/>
        <w:rPr>
          <w:sz w:val="24"/>
          <w:szCs w:val="24"/>
        </w:rPr>
      </w:pPr>
      <w:r w:rsidRPr="00E26BF4">
        <w:rPr>
          <w:sz w:val="24"/>
          <w:szCs w:val="24"/>
        </w:rPr>
        <w:t>De tratarse de retenciones practicadas a beneficiarios del exterior, su ingreso se efectuará en la forma, plazo y demás condiciones, previstos para el Sistema Integral de Retenciones Electrónicas (</w:t>
      </w:r>
      <w:r w:rsidR="00335071">
        <w:rPr>
          <w:color w:val="000000"/>
          <w:sz w:val="24"/>
          <w:szCs w:val="24"/>
        </w:rPr>
        <w:t>RG 3726 – SIRE</w:t>
      </w:r>
      <w:r w:rsidRPr="00E26BF4">
        <w:rPr>
          <w:sz w:val="24"/>
          <w:szCs w:val="24"/>
        </w:rPr>
        <w:t>), a cuyo</w:t>
      </w:r>
      <w:r w:rsidR="00335071">
        <w:rPr>
          <w:sz w:val="24"/>
          <w:szCs w:val="24"/>
        </w:rPr>
        <w:t>s</w:t>
      </w:r>
      <w:r w:rsidRPr="00E26BF4">
        <w:rPr>
          <w:sz w:val="24"/>
          <w:szCs w:val="24"/>
        </w:rPr>
        <w:t xml:space="preserve"> efecto</w:t>
      </w:r>
      <w:r w:rsidR="00335071">
        <w:rPr>
          <w:sz w:val="24"/>
          <w:szCs w:val="24"/>
        </w:rPr>
        <w:t>s</w:t>
      </w:r>
      <w:r w:rsidRPr="00E26BF4">
        <w:rPr>
          <w:sz w:val="24"/>
          <w:szCs w:val="24"/>
        </w:rPr>
        <w:t xml:space="preserve"> se utilizarán los siguientes códigos:</w:t>
      </w:r>
    </w:p>
    <w:p w:rsidR="00E26BF4" w:rsidRPr="00E26BF4" w:rsidRDefault="00E26BF4" w:rsidP="0006523C">
      <w:pPr>
        <w:widowControl/>
        <w:spacing w:before="105" w:after="105"/>
        <w:ind w:left="105" w:right="232"/>
        <w:rPr>
          <w:color w:val="000000"/>
          <w:sz w:val="24"/>
          <w:szCs w:val="24"/>
          <w:lang w:val="es-ES" w:eastAsia="es-ES"/>
        </w:rPr>
      </w:pPr>
      <w:r w:rsidRPr="00E26BF4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9751" w:type="dxa"/>
        <w:tblInd w:w="7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250"/>
        <w:gridCol w:w="7231"/>
      </w:tblGrid>
      <w:tr w:rsidR="00E26BF4" w:rsidRPr="00E26BF4" w:rsidTr="00E1668E">
        <w:trPr>
          <w:trHeight w:val="180"/>
        </w:trPr>
        <w:tc>
          <w:tcPr>
            <w:tcW w:w="18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7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Descripción operación</w:t>
            </w:r>
          </w:p>
        </w:tc>
      </w:tr>
      <w:tr w:rsidR="00E26BF4" w:rsidRPr="00E26BF4" w:rsidTr="00E1668E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Régimen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26BF4" w:rsidRPr="00E26BF4" w:rsidTr="00E1668E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Dividendos y utilidades asimilables. Artículo 90.3 de la ley. Beneficiarios del exterior. Alícuota 7%.</w:t>
            </w:r>
          </w:p>
        </w:tc>
      </w:tr>
      <w:tr w:rsidR="00E26BF4" w:rsidRPr="00E26BF4" w:rsidTr="00E1668E">
        <w:trPr>
          <w:trHeight w:val="1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BF4" w:rsidRPr="00E26BF4" w:rsidRDefault="00E26BF4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E26BF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Dividendos y utilidades asimilables. Artículo 90.3 de la ley. Beneficiarios del exterior. Alícuota 13%.</w:t>
            </w:r>
          </w:p>
        </w:tc>
      </w:tr>
    </w:tbl>
    <w:p w:rsidR="00D53D66" w:rsidRDefault="00D53D66" w:rsidP="0006523C">
      <w:pPr>
        <w:widowControl/>
        <w:ind w:right="232"/>
        <w:jc w:val="both"/>
        <w:rPr>
          <w:b/>
          <w:bCs/>
          <w:sz w:val="24"/>
          <w:szCs w:val="24"/>
          <w:u w:val="single"/>
          <w:lang w:val="es-ES" w:eastAsia="es-ES"/>
        </w:rPr>
      </w:pPr>
    </w:p>
    <w:p w:rsidR="00E1668E" w:rsidRPr="00D53D66" w:rsidRDefault="00E1668E" w:rsidP="0006523C">
      <w:pPr>
        <w:widowControl/>
        <w:ind w:right="232"/>
        <w:jc w:val="both"/>
        <w:rPr>
          <w:b/>
          <w:bCs/>
          <w:sz w:val="24"/>
          <w:szCs w:val="24"/>
          <w:u w:val="single"/>
          <w:lang w:val="es-ES" w:eastAsia="es-ES"/>
        </w:rPr>
      </w:pPr>
    </w:p>
    <w:p w:rsidR="00E26BF4" w:rsidRDefault="00E26BF4" w:rsidP="00E1668E">
      <w:pPr>
        <w:pStyle w:val="Prrafodelista"/>
        <w:widowControl/>
        <w:numPr>
          <w:ilvl w:val="0"/>
          <w:numId w:val="2"/>
        </w:numPr>
        <w:ind w:left="1134" w:right="232"/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Saldos a favor generados por la devolución de los fondos retirados</w:t>
      </w:r>
    </w:p>
    <w:p w:rsidR="00E26BF4" w:rsidRDefault="00E26BF4" w:rsidP="0006523C">
      <w:pPr>
        <w:pStyle w:val="Prrafodelista"/>
        <w:widowControl/>
        <w:ind w:left="1429" w:right="232"/>
        <w:jc w:val="both"/>
        <w:rPr>
          <w:b/>
          <w:bCs/>
          <w:sz w:val="24"/>
          <w:szCs w:val="24"/>
          <w:u w:val="single"/>
          <w:lang w:val="es-ES" w:eastAsia="es-ES"/>
        </w:rPr>
      </w:pPr>
    </w:p>
    <w:p w:rsidR="00E26BF4" w:rsidRDefault="00E26BF4" w:rsidP="0006523C">
      <w:pPr>
        <w:pStyle w:val="Prrafodelista"/>
        <w:ind w:left="709" w:right="232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 w:rsidRPr="00E26BF4">
        <w:rPr>
          <w:sz w:val="24"/>
          <w:szCs w:val="24"/>
        </w:rPr>
        <w:t>Los saldos que pudieran resultar a favor de los agentes de retención por las sumas retenidas en exceso y reintegradas a los beneficiarios</w:t>
      </w:r>
      <w:r w:rsidR="007A2D9F">
        <w:rPr>
          <w:sz w:val="24"/>
          <w:szCs w:val="24"/>
        </w:rPr>
        <w:t xml:space="preserve">, </w:t>
      </w:r>
      <w:r w:rsidR="00C113A7">
        <w:rPr>
          <w:sz w:val="24"/>
          <w:szCs w:val="24"/>
        </w:rPr>
        <w:t>tendrán el carácter de saldo a favor</w:t>
      </w:r>
      <w:r w:rsidR="00935ED1">
        <w:rPr>
          <w:sz w:val="24"/>
          <w:szCs w:val="24"/>
        </w:rPr>
        <w:t xml:space="preserve"> para el agente de retención</w:t>
      </w:r>
      <w:r w:rsidR="00C113A7">
        <w:rPr>
          <w:sz w:val="24"/>
          <w:szCs w:val="24"/>
        </w:rPr>
        <w:t xml:space="preserve"> y podrá</w:t>
      </w:r>
      <w:r w:rsidR="00E3777F">
        <w:rPr>
          <w:sz w:val="24"/>
          <w:szCs w:val="24"/>
        </w:rPr>
        <w:t>n</w:t>
      </w:r>
      <w:r w:rsidR="00C113A7">
        <w:rPr>
          <w:sz w:val="24"/>
          <w:szCs w:val="24"/>
        </w:rPr>
        <w:t xml:space="preserve"> ser compensados únicamente con otras obligaciones del mismo impuesto. </w:t>
      </w:r>
    </w:p>
    <w:p w:rsidR="00E1668E" w:rsidRDefault="00E1668E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E26BF4" w:rsidRDefault="00E26BF4" w:rsidP="0006523C">
      <w:pPr>
        <w:pStyle w:val="Prrafodelista"/>
        <w:ind w:left="709" w:right="232"/>
        <w:jc w:val="both"/>
        <w:rPr>
          <w:sz w:val="24"/>
          <w:szCs w:val="24"/>
        </w:rPr>
      </w:pPr>
    </w:p>
    <w:p w:rsidR="00E26BF4" w:rsidRDefault="00E26BF4" w:rsidP="00E1668E">
      <w:pPr>
        <w:pStyle w:val="Prrafodelista"/>
        <w:numPr>
          <w:ilvl w:val="0"/>
          <w:numId w:val="2"/>
        </w:numPr>
        <w:ind w:left="1134" w:right="232"/>
        <w:jc w:val="both"/>
        <w:rPr>
          <w:b/>
          <w:sz w:val="24"/>
          <w:szCs w:val="24"/>
          <w:u w:val="single"/>
        </w:rPr>
      </w:pPr>
      <w:r w:rsidRPr="00E26BF4">
        <w:rPr>
          <w:b/>
          <w:sz w:val="24"/>
          <w:szCs w:val="24"/>
          <w:u w:val="single"/>
        </w:rPr>
        <w:t>Imposibilidad de retener</w:t>
      </w:r>
    </w:p>
    <w:p w:rsidR="00E26BF4" w:rsidRDefault="00E26BF4" w:rsidP="0006523C">
      <w:pPr>
        <w:pStyle w:val="Prrafodelista"/>
        <w:ind w:left="1429" w:right="232"/>
        <w:jc w:val="both"/>
        <w:rPr>
          <w:b/>
          <w:sz w:val="24"/>
          <w:szCs w:val="24"/>
          <w:u w:val="single"/>
        </w:rPr>
      </w:pPr>
    </w:p>
    <w:p w:rsidR="00E26BF4" w:rsidRDefault="00E26BF4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E26BF4">
        <w:rPr>
          <w:color w:val="000000"/>
          <w:sz w:val="24"/>
          <w:szCs w:val="24"/>
        </w:rPr>
        <w:t xml:space="preserve">Cuando exista imposibilidad de retener el impuesto, la retención que hubiera correspondido practicar deberá ser ingresada por la entidad pagadora de los dividendos o utilidades, sin perjuicio de su derecho a </w:t>
      </w:r>
      <w:r w:rsidR="007A2D9F">
        <w:rPr>
          <w:color w:val="000000"/>
          <w:sz w:val="24"/>
          <w:szCs w:val="24"/>
        </w:rPr>
        <w:t>exigir</w:t>
      </w:r>
      <w:r w:rsidRPr="00E26BF4">
        <w:rPr>
          <w:color w:val="000000"/>
          <w:sz w:val="24"/>
          <w:szCs w:val="24"/>
        </w:rPr>
        <w:t xml:space="preserve"> el reintegro </w:t>
      </w:r>
      <w:r w:rsidR="007A2D9F">
        <w:rPr>
          <w:color w:val="000000"/>
          <w:sz w:val="24"/>
          <w:szCs w:val="24"/>
        </w:rPr>
        <w:t>por</w:t>
      </w:r>
      <w:r w:rsidRPr="00E26BF4">
        <w:rPr>
          <w:color w:val="000000"/>
          <w:sz w:val="24"/>
          <w:szCs w:val="24"/>
        </w:rPr>
        <w:t xml:space="preserve"> parte de</w:t>
      </w:r>
      <w:r w:rsidR="007A2D9F">
        <w:rPr>
          <w:color w:val="000000"/>
          <w:sz w:val="24"/>
          <w:szCs w:val="24"/>
        </w:rPr>
        <w:t xml:space="preserve"> </w:t>
      </w:r>
      <w:r w:rsidRPr="00E26BF4">
        <w:rPr>
          <w:color w:val="000000"/>
          <w:sz w:val="24"/>
          <w:szCs w:val="24"/>
        </w:rPr>
        <w:t>l</w:t>
      </w:r>
      <w:r w:rsidR="007A2D9F">
        <w:rPr>
          <w:color w:val="000000"/>
          <w:sz w:val="24"/>
          <w:szCs w:val="24"/>
        </w:rPr>
        <w:t>os</w:t>
      </w:r>
      <w:r w:rsidRPr="00E26BF4">
        <w:rPr>
          <w:color w:val="000000"/>
          <w:sz w:val="24"/>
          <w:szCs w:val="24"/>
        </w:rPr>
        <w:t xml:space="preserve"> beneficiario</w:t>
      </w:r>
      <w:r w:rsidR="007A2D9F">
        <w:rPr>
          <w:color w:val="000000"/>
          <w:sz w:val="24"/>
          <w:szCs w:val="24"/>
        </w:rPr>
        <w:t>s</w:t>
      </w:r>
      <w:r w:rsidRPr="00E26BF4">
        <w:rPr>
          <w:color w:val="000000"/>
          <w:sz w:val="24"/>
          <w:szCs w:val="24"/>
        </w:rPr>
        <w:t xml:space="preserve"> de las rentas. </w:t>
      </w:r>
    </w:p>
    <w:p w:rsidR="00E26BF4" w:rsidRDefault="00E26BF4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634696" w:rsidRDefault="00634696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E26BF4" w:rsidRPr="00E26BF4" w:rsidRDefault="00E26BF4" w:rsidP="00E1668E">
      <w:pPr>
        <w:pStyle w:val="Prrafodelista"/>
        <w:numPr>
          <w:ilvl w:val="0"/>
          <w:numId w:val="2"/>
        </w:numPr>
        <w:ind w:left="1134" w:right="23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Carácter de la retención</w:t>
      </w:r>
    </w:p>
    <w:p w:rsidR="00E26BF4" w:rsidRPr="00E26BF4" w:rsidRDefault="00E26BF4" w:rsidP="0006523C">
      <w:pPr>
        <w:pStyle w:val="Prrafodelista"/>
        <w:ind w:left="1429" w:right="232"/>
        <w:jc w:val="both"/>
        <w:rPr>
          <w:color w:val="000000"/>
          <w:sz w:val="24"/>
          <w:szCs w:val="24"/>
        </w:rPr>
      </w:pPr>
    </w:p>
    <w:p w:rsidR="00E26BF4" w:rsidRDefault="00E26BF4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E26BF4">
        <w:rPr>
          <w:color w:val="000000"/>
          <w:sz w:val="24"/>
          <w:szCs w:val="24"/>
        </w:rPr>
        <w:t xml:space="preserve">La retención tendrá el carácter de impuesto ingresado para los sujetos inscriptos en el </w:t>
      </w:r>
      <w:r w:rsidR="007A2D9F">
        <w:rPr>
          <w:color w:val="000000"/>
          <w:sz w:val="24"/>
          <w:szCs w:val="24"/>
        </w:rPr>
        <w:t>I</w:t>
      </w:r>
      <w:r w:rsidRPr="00E26BF4">
        <w:rPr>
          <w:color w:val="000000"/>
          <w:sz w:val="24"/>
          <w:szCs w:val="24"/>
        </w:rPr>
        <w:t xml:space="preserve">mpuesto a las </w:t>
      </w:r>
      <w:r w:rsidR="007A2D9F">
        <w:rPr>
          <w:color w:val="000000"/>
          <w:sz w:val="24"/>
          <w:szCs w:val="24"/>
        </w:rPr>
        <w:t>G</w:t>
      </w:r>
      <w:r w:rsidRPr="00E26BF4">
        <w:rPr>
          <w:color w:val="000000"/>
          <w:sz w:val="24"/>
          <w:szCs w:val="24"/>
        </w:rPr>
        <w:t xml:space="preserve">anancias, mientras que para los beneficiarios del exterior y las personas humanas que no se encuentren inscriptas en el </w:t>
      </w:r>
      <w:r w:rsidR="007A2D9F">
        <w:rPr>
          <w:color w:val="000000"/>
          <w:sz w:val="24"/>
          <w:szCs w:val="24"/>
        </w:rPr>
        <w:t xml:space="preserve">aludido </w:t>
      </w:r>
      <w:r w:rsidRPr="00E26BF4">
        <w:rPr>
          <w:color w:val="000000"/>
          <w:sz w:val="24"/>
          <w:szCs w:val="24"/>
        </w:rPr>
        <w:t>impuesto tendrá el carácter de pago único y definitivo. </w:t>
      </w:r>
    </w:p>
    <w:p w:rsidR="00E1668E" w:rsidRDefault="00E1668E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D42C30" w:rsidRDefault="00D42C30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D42C30" w:rsidRPr="008A2C9A" w:rsidRDefault="00D42C30" w:rsidP="00E1668E">
      <w:pPr>
        <w:pStyle w:val="Prrafodelista"/>
        <w:numPr>
          <w:ilvl w:val="0"/>
          <w:numId w:val="2"/>
        </w:numPr>
        <w:ind w:left="1134" w:right="232"/>
        <w:jc w:val="both"/>
        <w:rPr>
          <w:color w:val="000000"/>
          <w:sz w:val="24"/>
          <w:szCs w:val="24"/>
        </w:rPr>
      </w:pPr>
      <w:r w:rsidRPr="008A2C9A">
        <w:rPr>
          <w:b/>
          <w:sz w:val="24"/>
          <w:szCs w:val="24"/>
          <w:u w:val="single"/>
        </w:rPr>
        <w:t xml:space="preserve">Compensación y </w:t>
      </w:r>
      <w:r w:rsidR="003D586D" w:rsidRPr="008A2C9A">
        <w:rPr>
          <w:b/>
          <w:sz w:val="24"/>
          <w:szCs w:val="24"/>
          <w:u w:val="single"/>
        </w:rPr>
        <w:t>devolución de retenciones</w:t>
      </w:r>
      <w:r w:rsidR="008A2C9A" w:rsidRPr="008A2C9A">
        <w:rPr>
          <w:b/>
          <w:sz w:val="24"/>
          <w:szCs w:val="24"/>
          <w:u w:val="single"/>
        </w:rPr>
        <w:t xml:space="preserve"> por anticipos de sueldos, honorarios u otras remuneraciones</w:t>
      </w:r>
    </w:p>
    <w:p w:rsidR="003D586D" w:rsidRPr="008A2C9A" w:rsidRDefault="003D586D" w:rsidP="0006523C">
      <w:pPr>
        <w:ind w:right="232"/>
        <w:jc w:val="both"/>
        <w:rPr>
          <w:color w:val="000000"/>
          <w:sz w:val="24"/>
          <w:szCs w:val="24"/>
        </w:rPr>
      </w:pPr>
    </w:p>
    <w:p w:rsidR="0006335E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8A2C9A">
        <w:rPr>
          <w:color w:val="000000"/>
          <w:sz w:val="24"/>
          <w:szCs w:val="24"/>
        </w:rPr>
        <w:t>Las solicitudes de compensación o devolución -según corresponda- de los saldos a favor que pudieran generarse por aplicación de lo dispuesto por el segundo párrafo del séptimo artículo agregado a continuación del </w:t>
      </w:r>
      <w:hyperlink r:id="rId8" w:tgtFrame="_blank" w:history="1">
        <w:r w:rsidRPr="008A2C9A">
          <w:rPr>
            <w:color w:val="000000"/>
            <w:sz w:val="24"/>
            <w:szCs w:val="24"/>
          </w:rPr>
          <w:t>artículo 66</w:t>
        </w:r>
        <w:r w:rsidR="008A2C9A" w:rsidRPr="008A2C9A">
          <w:rPr>
            <w:color w:val="000000"/>
            <w:sz w:val="24"/>
            <w:szCs w:val="24"/>
          </w:rPr>
          <w:t xml:space="preserve"> </w:t>
        </w:r>
        <w:r w:rsidR="008A2C9A" w:rsidRPr="0006335E">
          <w:rPr>
            <w:color w:val="000000"/>
            <w:sz w:val="24"/>
            <w:szCs w:val="24"/>
          </w:rPr>
          <w:t>Decreto Reglamentario de la LIG (Dto.1344/1998 y sus modificaciones)</w:t>
        </w:r>
      </w:hyperlink>
      <w:r w:rsidRPr="008A2C9A">
        <w:rPr>
          <w:color w:val="000000"/>
          <w:sz w:val="24"/>
          <w:szCs w:val="24"/>
        </w:rPr>
        <w:t>, deberán efectuarse conforme lo previsto en la </w:t>
      </w:r>
      <w:hyperlink r:id="rId9" w:tgtFrame="_blank" w:history="1">
        <w:r w:rsidR="0006335E">
          <w:rPr>
            <w:color w:val="000000"/>
            <w:sz w:val="24"/>
            <w:szCs w:val="24"/>
          </w:rPr>
          <w:t>RG</w:t>
        </w:r>
        <w:r w:rsidRPr="008A2C9A">
          <w:rPr>
            <w:color w:val="000000"/>
            <w:sz w:val="24"/>
            <w:szCs w:val="24"/>
          </w:rPr>
          <w:t>1658</w:t>
        </w:r>
      </w:hyperlink>
      <w:r w:rsidR="0006335E" w:rsidRPr="0006335E">
        <w:rPr>
          <w:color w:val="000000"/>
          <w:sz w:val="24"/>
          <w:szCs w:val="24"/>
        </w:rPr>
        <w:t xml:space="preserve"> (Solicitud de </w:t>
      </w:r>
      <w:r w:rsidR="00FC409B">
        <w:rPr>
          <w:color w:val="000000"/>
          <w:sz w:val="24"/>
          <w:szCs w:val="24"/>
        </w:rPr>
        <w:t>c</w:t>
      </w:r>
      <w:r w:rsidR="0006335E" w:rsidRPr="0006335E">
        <w:rPr>
          <w:color w:val="000000"/>
          <w:sz w:val="24"/>
          <w:szCs w:val="24"/>
        </w:rPr>
        <w:t xml:space="preserve">ompensación de saldos de </w:t>
      </w:r>
      <w:r w:rsidR="00FC409B">
        <w:rPr>
          <w:color w:val="000000"/>
          <w:sz w:val="24"/>
          <w:szCs w:val="24"/>
        </w:rPr>
        <w:t>i</w:t>
      </w:r>
      <w:r w:rsidR="0006335E" w:rsidRPr="0006335E">
        <w:rPr>
          <w:color w:val="000000"/>
          <w:sz w:val="24"/>
          <w:szCs w:val="24"/>
        </w:rPr>
        <w:t>mpuestos )</w:t>
      </w:r>
      <w:r w:rsidRPr="008A2C9A">
        <w:rPr>
          <w:color w:val="000000"/>
          <w:sz w:val="24"/>
          <w:szCs w:val="24"/>
        </w:rPr>
        <w:t> y</w:t>
      </w:r>
      <w:r w:rsidR="0006335E">
        <w:rPr>
          <w:color w:val="000000"/>
          <w:sz w:val="24"/>
          <w:szCs w:val="24"/>
        </w:rPr>
        <w:t xml:space="preserve"> la RG</w:t>
      </w:r>
      <w:r w:rsidRPr="008A2C9A">
        <w:rPr>
          <w:color w:val="000000"/>
          <w:sz w:val="24"/>
          <w:szCs w:val="24"/>
        </w:rPr>
        <w:t> </w:t>
      </w:r>
      <w:hyperlink r:id="rId10" w:tgtFrame="_blank" w:history="1">
        <w:r w:rsidRPr="008A2C9A">
          <w:rPr>
            <w:color w:val="000000"/>
            <w:sz w:val="24"/>
            <w:szCs w:val="24"/>
          </w:rPr>
          <w:t>2224</w:t>
        </w:r>
      </w:hyperlink>
      <w:r w:rsidR="0006335E" w:rsidRPr="0006335E">
        <w:rPr>
          <w:color w:val="000000"/>
          <w:sz w:val="24"/>
          <w:szCs w:val="24"/>
        </w:rPr>
        <w:t xml:space="preserve"> (Devoluciones de </w:t>
      </w:r>
      <w:r w:rsidR="0006335E">
        <w:rPr>
          <w:color w:val="000000"/>
          <w:sz w:val="24"/>
          <w:szCs w:val="24"/>
        </w:rPr>
        <w:t>p</w:t>
      </w:r>
      <w:r w:rsidR="0006335E" w:rsidRPr="0006335E">
        <w:rPr>
          <w:color w:val="000000"/>
          <w:sz w:val="24"/>
          <w:szCs w:val="24"/>
        </w:rPr>
        <w:t>agos o ingresos en exceso a favor de contribuyente y/o responsables)</w:t>
      </w:r>
      <w:r w:rsidR="0006335E">
        <w:rPr>
          <w:color w:val="000000"/>
          <w:sz w:val="24"/>
          <w:szCs w:val="24"/>
        </w:rPr>
        <w:t>.</w:t>
      </w:r>
    </w:p>
    <w:p w:rsidR="00632DC1" w:rsidRDefault="0006335E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8A2C9A">
        <w:rPr>
          <w:color w:val="000000"/>
          <w:sz w:val="24"/>
          <w:szCs w:val="24"/>
        </w:rPr>
        <w:t xml:space="preserve"> </w:t>
      </w:r>
    </w:p>
    <w:p w:rsidR="007A2D9F" w:rsidRPr="008A2C9A" w:rsidRDefault="007A2D9F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8A2C9A">
        <w:rPr>
          <w:color w:val="000000"/>
          <w:sz w:val="24"/>
          <w:szCs w:val="24"/>
        </w:rPr>
        <w:t xml:space="preserve">A tales fines, los beneficiarios deberán haber cumplido previamente con la obligación de determinación anual del </w:t>
      </w:r>
      <w:r w:rsidR="007A2D9F">
        <w:rPr>
          <w:color w:val="000000"/>
          <w:sz w:val="24"/>
          <w:szCs w:val="24"/>
        </w:rPr>
        <w:t>I</w:t>
      </w:r>
      <w:r w:rsidRPr="008A2C9A">
        <w:rPr>
          <w:color w:val="000000"/>
          <w:sz w:val="24"/>
          <w:szCs w:val="24"/>
        </w:rPr>
        <w:t xml:space="preserve">mpuesto a las </w:t>
      </w:r>
      <w:r w:rsidR="007A2D9F">
        <w:rPr>
          <w:color w:val="000000"/>
          <w:sz w:val="24"/>
          <w:szCs w:val="24"/>
        </w:rPr>
        <w:t>G</w:t>
      </w:r>
      <w:r w:rsidRPr="008A2C9A">
        <w:rPr>
          <w:color w:val="000000"/>
          <w:sz w:val="24"/>
          <w:szCs w:val="24"/>
        </w:rPr>
        <w:t>anancias</w:t>
      </w:r>
      <w:r w:rsidR="005714E3">
        <w:rPr>
          <w:color w:val="000000"/>
          <w:sz w:val="24"/>
          <w:szCs w:val="24"/>
        </w:rPr>
        <w:t>.</w:t>
      </w:r>
      <w:r w:rsidRPr="008A2C9A">
        <w:rPr>
          <w:color w:val="000000"/>
          <w:sz w:val="24"/>
          <w:szCs w:val="24"/>
        </w:rPr>
        <w:t xml:space="preserve"> </w:t>
      </w:r>
    </w:p>
    <w:p w:rsidR="00FC409B" w:rsidRDefault="00FC409B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FC409B" w:rsidRDefault="00FC409B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Default="00632DC1" w:rsidP="00E1668E">
      <w:pPr>
        <w:pStyle w:val="Prrafodelista"/>
        <w:numPr>
          <w:ilvl w:val="0"/>
          <w:numId w:val="2"/>
        </w:numPr>
        <w:ind w:left="1134" w:right="232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Impuesto de Igualación – Disposiciones Transitorias</w:t>
      </w:r>
    </w:p>
    <w:p w:rsidR="003D586D" w:rsidRDefault="003D586D" w:rsidP="0006523C">
      <w:pPr>
        <w:pStyle w:val="Prrafodelista"/>
        <w:widowControl/>
        <w:spacing w:before="80"/>
        <w:ind w:left="1429" w:right="232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</w:p>
    <w:p w:rsid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3D586D">
        <w:rPr>
          <w:color w:val="000000"/>
          <w:sz w:val="24"/>
          <w:szCs w:val="24"/>
        </w:rPr>
        <w:t>El ingreso de las retenciones que corresponda practicar, por tratarse de dividendos y utilidades atribuibles a ganancias devengadas en ejercicios fiscales iniciados hasta el 31 de diciembre de 2017, deberán realizarse de acuerdo con los procedimientos que -para cada caso- se establecen a continuación:</w:t>
      </w:r>
    </w:p>
    <w:p w:rsidR="00EC7257" w:rsidRPr="003D586D" w:rsidRDefault="00EC7257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Default="003D586D" w:rsidP="0006523C">
      <w:pPr>
        <w:pStyle w:val="Prrafodelista"/>
        <w:numPr>
          <w:ilvl w:val="0"/>
          <w:numId w:val="5"/>
        </w:numPr>
        <w:ind w:right="232"/>
        <w:jc w:val="both"/>
        <w:rPr>
          <w:color w:val="000000"/>
          <w:sz w:val="24"/>
          <w:szCs w:val="24"/>
        </w:rPr>
      </w:pPr>
      <w:r w:rsidRPr="003D586D">
        <w:rPr>
          <w:color w:val="000000"/>
          <w:sz w:val="24"/>
          <w:szCs w:val="24"/>
        </w:rPr>
        <w:t>En el caso de sujetos residentes en el país: según l</w:t>
      </w:r>
      <w:r w:rsidR="00632DC1">
        <w:rPr>
          <w:color w:val="000000"/>
          <w:sz w:val="24"/>
          <w:szCs w:val="24"/>
        </w:rPr>
        <w:t>o establecido para</w:t>
      </w:r>
      <w:r w:rsidR="00632DC1" w:rsidRPr="00632DC1">
        <w:rPr>
          <w:sz w:val="24"/>
          <w:szCs w:val="24"/>
        </w:rPr>
        <w:t xml:space="preserve"> </w:t>
      </w:r>
      <w:r w:rsidR="00632DC1" w:rsidRPr="00D53D66">
        <w:rPr>
          <w:sz w:val="24"/>
          <w:szCs w:val="24"/>
        </w:rPr>
        <w:t xml:space="preserve">el Sistema de Control de Retenciones </w:t>
      </w:r>
      <w:r w:rsidR="00632DC1">
        <w:rPr>
          <w:color w:val="000000"/>
          <w:sz w:val="24"/>
          <w:szCs w:val="24"/>
        </w:rPr>
        <w:t>(</w:t>
      </w:r>
      <w:r w:rsidR="000525A0">
        <w:rPr>
          <w:color w:val="000000"/>
          <w:sz w:val="24"/>
          <w:szCs w:val="24"/>
        </w:rPr>
        <w:t xml:space="preserve">RG 2233 - </w:t>
      </w:r>
      <w:r w:rsidR="00632DC1">
        <w:rPr>
          <w:color w:val="000000"/>
          <w:sz w:val="24"/>
          <w:szCs w:val="24"/>
        </w:rPr>
        <w:t>SICORE)</w:t>
      </w:r>
      <w:r w:rsidRPr="003D586D">
        <w:rPr>
          <w:color w:val="000000"/>
          <w:sz w:val="24"/>
          <w:szCs w:val="24"/>
        </w:rPr>
        <w:t>, utilizando el siguiente código:</w:t>
      </w:r>
    </w:p>
    <w:p w:rsidR="003D586D" w:rsidRPr="003D586D" w:rsidRDefault="003D586D" w:rsidP="0006523C">
      <w:pPr>
        <w:pStyle w:val="Prrafodelista"/>
        <w:tabs>
          <w:tab w:val="left" w:pos="11199"/>
        </w:tabs>
        <w:ind w:left="1069" w:right="232"/>
        <w:jc w:val="both"/>
        <w:rPr>
          <w:color w:val="000000"/>
          <w:sz w:val="24"/>
          <w:szCs w:val="24"/>
        </w:rPr>
      </w:pPr>
    </w:p>
    <w:tbl>
      <w:tblPr>
        <w:tblW w:w="9728" w:type="dxa"/>
        <w:tblInd w:w="7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470"/>
        <w:gridCol w:w="6988"/>
      </w:tblGrid>
      <w:tr w:rsidR="003D586D" w:rsidRPr="003D586D" w:rsidTr="00E1668E">
        <w:trPr>
          <w:trHeight w:val="187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Descripción operación</w:t>
            </w:r>
          </w:p>
        </w:tc>
      </w:tr>
      <w:tr w:rsidR="003D586D" w:rsidRPr="003D586D" w:rsidTr="00E1668E">
        <w:trPr>
          <w:trHeight w:val="187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Régimen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3D586D" w:rsidRPr="003D586D" w:rsidTr="00E1668E">
        <w:trPr>
          <w:trHeight w:val="37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0C8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Dividendos o distribución de utilidades superiores a la ganancia impositiva </w:t>
            </w:r>
          </w:p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(art. incorporado a continuación del art. 69 de la ley).</w:t>
            </w:r>
          </w:p>
        </w:tc>
      </w:tr>
    </w:tbl>
    <w:p w:rsidR="00EC7257" w:rsidRDefault="00EC7257" w:rsidP="00E1668E">
      <w:pPr>
        <w:ind w:left="709" w:right="232"/>
        <w:jc w:val="both"/>
        <w:rPr>
          <w:color w:val="000000"/>
          <w:sz w:val="24"/>
          <w:szCs w:val="24"/>
        </w:rPr>
      </w:pPr>
    </w:p>
    <w:p w:rsidR="003D586D" w:rsidRPr="00E1668E" w:rsidRDefault="00E1668E" w:rsidP="00E1668E">
      <w:pPr>
        <w:ind w:left="709" w:right="2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AE10C8" w:rsidRPr="00E1668E">
        <w:rPr>
          <w:color w:val="000000"/>
          <w:sz w:val="24"/>
          <w:szCs w:val="24"/>
        </w:rPr>
        <w:t xml:space="preserve">De tratarse de beneficiarios del exterior: </w:t>
      </w:r>
      <w:r w:rsidR="000525A0">
        <w:rPr>
          <w:color w:val="000000"/>
          <w:sz w:val="24"/>
          <w:szCs w:val="24"/>
        </w:rPr>
        <w:t>según lo establecido para el Sistema Integral de Retenciones Electrónicas (RG 3726 – SIRE)</w:t>
      </w:r>
      <w:r w:rsidR="00AE10C8" w:rsidRPr="00E1668E">
        <w:rPr>
          <w:color w:val="000000"/>
          <w:sz w:val="24"/>
          <w:szCs w:val="24"/>
        </w:rPr>
        <w:t>, a cuyo efecto se utilizará el código:</w:t>
      </w:r>
    </w:p>
    <w:p w:rsidR="003D586D" w:rsidRPr="003D586D" w:rsidRDefault="003D586D" w:rsidP="0006523C">
      <w:pPr>
        <w:pStyle w:val="Prrafodelista"/>
        <w:ind w:left="1069" w:right="232"/>
        <w:jc w:val="both"/>
        <w:rPr>
          <w:color w:val="000000"/>
          <w:sz w:val="24"/>
          <w:szCs w:val="24"/>
        </w:rPr>
      </w:pPr>
    </w:p>
    <w:tbl>
      <w:tblPr>
        <w:tblW w:w="9758" w:type="dxa"/>
        <w:tblInd w:w="7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474"/>
        <w:gridCol w:w="7014"/>
      </w:tblGrid>
      <w:tr w:rsidR="003D586D" w:rsidRPr="003D586D" w:rsidTr="00E1668E">
        <w:trPr>
          <w:trHeight w:val="199"/>
        </w:trPr>
        <w:tc>
          <w:tcPr>
            <w:tcW w:w="22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Descripción operación</w:t>
            </w:r>
          </w:p>
        </w:tc>
      </w:tr>
      <w:tr w:rsidR="003D586D" w:rsidRPr="003D586D" w:rsidTr="00E1668E">
        <w:trPr>
          <w:trHeight w:val="1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Régimen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3D586D" w:rsidRPr="003D586D" w:rsidTr="00E1668E">
        <w:trPr>
          <w:trHeight w:val="39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0C8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Dividendos o distribución de utilidades superiores a la ganancia impositiva</w:t>
            </w:r>
          </w:p>
          <w:p w:rsidR="003D586D" w:rsidRPr="003D586D" w:rsidRDefault="003D586D" w:rsidP="0006523C">
            <w:pPr>
              <w:widowControl/>
              <w:ind w:left="105" w:right="232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(art. incorporado a</w:t>
            </w:r>
            <w:r w:rsidR="00AE10C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r w:rsidRPr="003D586D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continuación del art. 69 de la ley).</w:t>
            </w:r>
          </w:p>
        </w:tc>
      </w:tr>
    </w:tbl>
    <w:p w:rsidR="00EC7257" w:rsidRDefault="00EC7257" w:rsidP="00E1668E">
      <w:pPr>
        <w:ind w:left="709" w:right="232"/>
        <w:jc w:val="both"/>
        <w:rPr>
          <w:color w:val="000000"/>
          <w:sz w:val="24"/>
          <w:szCs w:val="24"/>
        </w:rPr>
      </w:pPr>
    </w:p>
    <w:p w:rsidR="005714E3" w:rsidRDefault="005714E3" w:rsidP="00E1668E">
      <w:pPr>
        <w:ind w:left="709" w:right="232"/>
        <w:jc w:val="both"/>
        <w:rPr>
          <w:color w:val="000000"/>
          <w:sz w:val="24"/>
          <w:szCs w:val="24"/>
        </w:rPr>
      </w:pPr>
    </w:p>
    <w:p w:rsidR="00E1668E" w:rsidRPr="00E1668E" w:rsidRDefault="003D586D" w:rsidP="00E1668E">
      <w:pPr>
        <w:ind w:left="709" w:right="232"/>
        <w:jc w:val="both"/>
        <w:rPr>
          <w:color w:val="000000"/>
          <w:sz w:val="24"/>
          <w:szCs w:val="24"/>
        </w:rPr>
      </w:pPr>
      <w:r w:rsidRPr="00E1668E">
        <w:rPr>
          <w:color w:val="000000"/>
          <w:sz w:val="24"/>
          <w:szCs w:val="24"/>
        </w:rPr>
        <w:t>Cuando exista imposibilidad de retener</w:t>
      </w:r>
      <w:r w:rsidR="000525A0">
        <w:rPr>
          <w:color w:val="000000"/>
          <w:sz w:val="24"/>
          <w:szCs w:val="24"/>
        </w:rPr>
        <w:t xml:space="preserve">, el importe de la retención que hubiera correspondido practicar deberá ser ingresado por la entidad pagadora, sin perjuicio de su derecho a exigir el reintegro por parte de los beneficiarios de las rentas. </w:t>
      </w:r>
    </w:p>
    <w:p w:rsid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P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Default="003D586D" w:rsidP="00E1668E">
      <w:pPr>
        <w:pStyle w:val="Prrafodelista"/>
        <w:numPr>
          <w:ilvl w:val="0"/>
          <w:numId w:val="2"/>
        </w:numPr>
        <w:ind w:left="1134" w:right="232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Retenciones practicadas con anterioridad a la vigencia de la presente</w:t>
      </w:r>
    </w:p>
    <w:p w:rsidR="003D586D" w:rsidRDefault="003D586D" w:rsidP="0006523C">
      <w:pPr>
        <w:pStyle w:val="Prrafodelista"/>
        <w:ind w:left="1429" w:right="232"/>
        <w:jc w:val="both"/>
        <w:rPr>
          <w:b/>
          <w:color w:val="000000"/>
          <w:sz w:val="24"/>
          <w:szCs w:val="24"/>
          <w:u w:val="single"/>
        </w:rPr>
      </w:pPr>
    </w:p>
    <w:p w:rsid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3D586D">
        <w:rPr>
          <w:color w:val="000000"/>
          <w:sz w:val="24"/>
          <w:szCs w:val="24"/>
        </w:rPr>
        <w:t>Las retenciones sobre dividendos y utilidades asimilables que hubieran sido pr</w:t>
      </w:r>
      <w:r w:rsidR="0018247D">
        <w:rPr>
          <w:color w:val="000000"/>
          <w:sz w:val="24"/>
          <w:szCs w:val="24"/>
        </w:rPr>
        <w:t xml:space="preserve">acticadas con anterioridad al 23 de mayo de 2019 </w:t>
      </w:r>
      <w:r w:rsidRPr="003D586D">
        <w:rPr>
          <w:color w:val="000000"/>
          <w:sz w:val="24"/>
          <w:szCs w:val="24"/>
        </w:rPr>
        <w:t xml:space="preserve">y resulten </w:t>
      </w:r>
      <w:r w:rsidR="005714E3">
        <w:rPr>
          <w:color w:val="000000"/>
          <w:sz w:val="24"/>
          <w:szCs w:val="24"/>
        </w:rPr>
        <w:t>se</w:t>
      </w:r>
      <w:r w:rsidRPr="003D586D">
        <w:rPr>
          <w:color w:val="000000"/>
          <w:sz w:val="24"/>
          <w:szCs w:val="24"/>
        </w:rPr>
        <w:t>r atribuibles a ganancias devengadas en ejercicios fiscales iniciados a partir del 1 de enero de 2018, podrán informarse e ingresarse hasta las fechas de vencimiento previstas para la presentación de la declaración jurada e ingreso del saldo resultante que operan en el mes de junio de 2019, del Sistema de Control de Retenciones (SICORE) y Sistema Integral de R</w:t>
      </w:r>
      <w:r w:rsidR="003C1EEC">
        <w:rPr>
          <w:color w:val="000000"/>
          <w:sz w:val="24"/>
          <w:szCs w:val="24"/>
        </w:rPr>
        <w:t>etenciones Electrónicas (SIRE),</w:t>
      </w:r>
      <w:r w:rsidRPr="003D586D">
        <w:rPr>
          <w:color w:val="000000"/>
          <w:sz w:val="24"/>
          <w:szCs w:val="24"/>
        </w:rPr>
        <w:t xml:space="preserve"> informándolas en el período mayo de 2019, consignando como fecha de retención el 31 de mayo de 2019 y utilizando el respectivo código.</w:t>
      </w:r>
    </w:p>
    <w:p w:rsidR="003C1EEC" w:rsidRDefault="003C1EEC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5714E3" w:rsidRDefault="005714E3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</w:p>
    <w:p w:rsidR="003D586D" w:rsidRPr="003708B0" w:rsidRDefault="003D586D" w:rsidP="00E1668E">
      <w:pPr>
        <w:pStyle w:val="Prrafodelista"/>
        <w:numPr>
          <w:ilvl w:val="0"/>
          <w:numId w:val="2"/>
        </w:numPr>
        <w:ind w:left="1134" w:right="232"/>
        <w:jc w:val="both"/>
        <w:rPr>
          <w:b/>
          <w:sz w:val="24"/>
          <w:szCs w:val="24"/>
          <w:u w:val="single"/>
        </w:rPr>
      </w:pPr>
      <w:r w:rsidRPr="003708B0">
        <w:rPr>
          <w:b/>
          <w:sz w:val="24"/>
          <w:szCs w:val="24"/>
          <w:u w:val="single"/>
        </w:rPr>
        <w:t>Vigencia</w:t>
      </w:r>
    </w:p>
    <w:p w:rsidR="003D586D" w:rsidRPr="00394535" w:rsidRDefault="003D586D" w:rsidP="0006523C">
      <w:pPr>
        <w:ind w:left="709" w:right="232"/>
        <w:jc w:val="both"/>
        <w:rPr>
          <w:b/>
          <w:sz w:val="24"/>
          <w:szCs w:val="24"/>
          <w:u w:val="single"/>
        </w:rPr>
      </w:pPr>
    </w:p>
    <w:p w:rsidR="003D586D" w:rsidRPr="003D586D" w:rsidRDefault="003D586D" w:rsidP="0006523C">
      <w:pPr>
        <w:pStyle w:val="Prrafodelista"/>
        <w:ind w:left="709" w:right="232"/>
        <w:jc w:val="both"/>
        <w:rPr>
          <w:color w:val="000000"/>
          <w:sz w:val="24"/>
          <w:szCs w:val="24"/>
        </w:rPr>
      </w:pPr>
      <w:r w:rsidRPr="00FC7FF1">
        <w:rPr>
          <w:sz w:val="24"/>
          <w:szCs w:val="24"/>
          <w:lang w:val="es-ES" w:eastAsia="es-ES"/>
        </w:rPr>
        <w:t xml:space="preserve">Las disposiciones de la presente entran en vigencia a partir del día </w:t>
      </w:r>
      <w:r>
        <w:rPr>
          <w:sz w:val="24"/>
          <w:szCs w:val="24"/>
          <w:lang w:val="es-ES" w:eastAsia="es-ES"/>
        </w:rPr>
        <w:t>23</w:t>
      </w:r>
      <w:r w:rsidRPr="00FC7FF1">
        <w:rPr>
          <w:sz w:val="24"/>
          <w:szCs w:val="24"/>
          <w:lang w:val="es-ES" w:eastAsia="es-ES"/>
        </w:rPr>
        <w:t xml:space="preserve"> de </w:t>
      </w:r>
      <w:r>
        <w:rPr>
          <w:sz w:val="24"/>
          <w:szCs w:val="24"/>
          <w:lang w:val="es-ES" w:eastAsia="es-ES"/>
        </w:rPr>
        <w:t>mayo</w:t>
      </w:r>
      <w:r w:rsidRPr="00FC7FF1">
        <w:rPr>
          <w:sz w:val="24"/>
          <w:szCs w:val="24"/>
          <w:lang w:val="es-ES" w:eastAsia="es-ES"/>
        </w:rPr>
        <w:t xml:space="preserve"> de 2019</w:t>
      </w:r>
      <w:r>
        <w:rPr>
          <w:sz w:val="24"/>
          <w:szCs w:val="24"/>
          <w:lang w:val="es-ES" w:eastAsia="es-ES"/>
        </w:rPr>
        <w:t>.</w:t>
      </w:r>
    </w:p>
    <w:p w:rsidR="00E26BF4" w:rsidRDefault="00E26BF4" w:rsidP="0006523C">
      <w:pPr>
        <w:ind w:right="232"/>
        <w:jc w:val="both"/>
        <w:rPr>
          <w:color w:val="000000"/>
          <w:sz w:val="24"/>
          <w:szCs w:val="24"/>
        </w:rPr>
      </w:pPr>
    </w:p>
    <w:p w:rsidR="005714E3" w:rsidRDefault="005714E3" w:rsidP="0006523C">
      <w:pPr>
        <w:ind w:right="232"/>
        <w:jc w:val="both"/>
        <w:rPr>
          <w:color w:val="000000"/>
          <w:sz w:val="24"/>
          <w:szCs w:val="24"/>
        </w:rPr>
      </w:pPr>
    </w:p>
    <w:p w:rsidR="00531054" w:rsidRDefault="00531054" w:rsidP="0006523C">
      <w:pPr>
        <w:tabs>
          <w:tab w:val="left" w:pos="993"/>
          <w:tab w:val="left" w:pos="1418"/>
        </w:tabs>
        <w:ind w:left="709" w:right="232"/>
        <w:jc w:val="both"/>
        <w:rPr>
          <w:sz w:val="24"/>
          <w:szCs w:val="24"/>
        </w:rPr>
      </w:pPr>
    </w:p>
    <w:p w:rsidR="005E5037" w:rsidRPr="00394535" w:rsidRDefault="00AE10C8" w:rsidP="007911C6">
      <w:pPr>
        <w:tabs>
          <w:tab w:val="left" w:pos="993"/>
          <w:tab w:val="left" w:pos="1418"/>
        </w:tabs>
        <w:ind w:left="709" w:right="232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 w:rsidR="00F355E3">
        <w:rPr>
          <w:sz w:val="24"/>
          <w:szCs w:val="24"/>
        </w:rPr>
        <w:t>13</w:t>
      </w:r>
      <w:r w:rsidRPr="00394535">
        <w:rPr>
          <w:sz w:val="24"/>
          <w:szCs w:val="24"/>
        </w:rPr>
        <w:t xml:space="preserve"> de </w:t>
      </w:r>
      <w:r w:rsidR="00F355E3">
        <w:rPr>
          <w:sz w:val="24"/>
          <w:szCs w:val="24"/>
        </w:rPr>
        <w:t>junio</w:t>
      </w:r>
      <w:r>
        <w:rPr>
          <w:sz w:val="24"/>
          <w:szCs w:val="24"/>
        </w:rPr>
        <w:t xml:space="preserve"> de </w:t>
      </w:r>
      <w:r w:rsidRPr="0039453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94535">
        <w:rPr>
          <w:sz w:val="24"/>
          <w:szCs w:val="24"/>
        </w:rPr>
        <w:t>.</w:t>
      </w:r>
    </w:p>
    <w:sectPr w:rsidR="005E5037" w:rsidRPr="00394535" w:rsidSect="0006523C">
      <w:headerReference w:type="default" r:id="rId11"/>
      <w:footerReference w:type="default" r:id="rId12"/>
      <w:pgSz w:w="11907" w:h="16839" w:code="9"/>
      <w:pgMar w:top="1247" w:right="708" w:bottom="1021" w:left="567" w:header="0" w:footer="0" w:gutter="0"/>
      <w:paperSrc w:first="259" w:other="25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9F" w:rsidRDefault="007A2D9F">
      <w:r>
        <w:separator/>
      </w:r>
    </w:p>
  </w:endnote>
  <w:endnote w:type="continuationSeparator" w:id="1">
    <w:p w:rsidR="007A2D9F" w:rsidRDefault="007A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9F" w:rsidRDefault="007A2D9F">
    <w:pPr>
      <w:pStyle w:val="Piedepgina"/>
      <w:jc w:val="center"/>
      <w:rPr>
        <w:b/>
        <w:color w:val="808080"/>
        <w:sz w:val="12"/>
      </w:rPr>
    </w:pPr>
  </w:p>
  <w:p w:rsidR="007A2D9F" w:rsidRDefault="007A2D9F">
    <w:pPr>
      <w:pStyle w:val="Piedepgina"/>
      <w:jc w:val="center"/>
      <w:rPr>
        <w:b/>
        <w:color w:val="808080"/>
        <w:sz w:val="12"/>
      </w:rPr>
    </w:pPr>
  </w:p>
  <w:p w:rsidR="007A2D9F" w:rsidRDefault="007A2D9F">
    <w:pPr>
      <w:pStyle w:val="Piedepgina"/>
      <w:jc w:val="center"/>
      <w:rPr>
        <w:b/>
        <w:color w:val="808080"/>
        <w:sz w:val="12"/>
      </w:rPr>
    </w:pPr>
  </w:p>
  <w:p w:rsidR="007A2D9F" w:rsidRDefault="007A2D9F">
    <w:pPr>
      <w:pStyle w:val="Piedepgina"/>
      <w:jc w:val="center"/>
      <w:rPr>
        <w:b/>
        <w:color w:val="808080"/>
        <w:sz w:val="12"/>
      </w:rPr>
    </w:pPr>
  </w:p>
  <w:p w:rsidR="007A2D9F" w:rsidRDefault="007A2D9F">
    <w:pPr>
      <w:pStyle w:val="Piedepgina"/>
      <w:jc w:val="center"/>
      <w:rPr>
        <w:b/>
        <w:color w:val="808080"/>
        <w:sz w:val="12"/>
      </w:rPr>
    </w:pPr>
  </w:p>
  <w:p w:rsidR="007A2D9F" w:rsidRDefault="007A2D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9F" w:rsidRDefault="007A2D9F">
      <w:r>
        <w:separator/>
      </w:r>
    </w:p>
  </w:footnote>
  <w:footnote w:type="continuationSeparator" w:id="1">
    <w:p w:rsidR="007A2D9F" w:rsidRDefault="007A2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9F" w:rsidRDefault="007A2D9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A2D9F" w:rsidRDefault="007A2D9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A2D9F" w:rsidRDefault="007A2D9F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7A2D9F" w:rsidRDefault="007A2D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4E17"/>
    <w:multiLevelType w:val="hybridMultilevel"/>
    <w:tmpl w:val="2DAC7C8A"/>
    <w:lvl w:ilvl="0" w:tplc="A40001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5464D"/>
    <w:multiLevelType w:val="hybridMultilevel"/>
    <w:tmpl w:val="811EBAF6"/>
    <w:lvl w:ilvl="0" w:tplc="BEE4B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E63FE"/>
    <w:multiLevelType w:val="hybridMultilevel"/>
    <w:tmpl w:val="A4F0375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096580"/>
    <w:multiLevelType w:val="hybridMultilevel"/>
    <w:tmpl w:val="7B82B5C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8E26F15"/>
    <w:multiLevelType w:val="hybridMultilevel"/>
    <w:tmpl w:val="811EBAF6"/>
    <w:lvl w:ilvl="0" w:tplc="BEE4B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384580"/>
    <w:multiLevelType w:val="hybridMultilevel"/>
    <w:tmpl w:val="04FEEA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25A0"/>
    <w:rsid w:val="0005435D"/>
    <w:rsid w:val="000579FD"/>
    <w:rsid w:val="00062B4A"/>
    <w:rsid w:val="0006335E"/>
    <w:rsid w:val="0006416C"/>
    <w:rsid w:val="00064ECA"/>
    <w:rsid w:val="0006523C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B432A"/>
    <w:rsid w:val="000C021F"/>
    <w:rsid w:val="000C4116"/>
    <w:rsid w:val="000D07F6"/>
    <w:rsid w:val="000D64D8"/>
    <w:rsid w:val="000D69CB"/>
    <w:rsid w:val="000D7FAF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89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0717"/>
    <w:rsid w:val="00172BAD"/>
    <w:rsid w:val="001765FC"/>
    <w:rsid w:val="0018016D"/>
    <w:rsid w:val="0018247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4F69"/>
    <w:rsid w:val="001A7482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4EDF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35071"/>
    <w:rsid w:val="00343617"/>
    <w:rsid w:val="00343D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67B56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970D7"/>
    <w:rsid w:val="003A391A"/>
    <w:rsid w:val="003A4530"/>
    <w:rsid w:val="003A69A8"/>
    <w:rsid w:val="003A7B85"/>
    <w:rsid w:val="003B0134"/>
    <w:rsid w:val="003B0D8A"/>
    <w:rsid w:val="003B50FF"/>
    <w:rsid w:val="003C15F6"/>
    <w:rsid w:val="003C1EEC"/>
    <w:rsid w:val="003C3502"/>
    <w:rsid w:val="003C411B"/>
    <w:rsid w:val="003C512F"/>
    <w:rsid w:val="003D4712"/>
    <w:rsid w:val="003D4DC9"/>
    <w:rsid w:val="003D586D"/>
    <w:rsid w:val="003E76B8"/>
    <w:rsid w:val="003F1A1F"/>
    <w:rsid w:val="003F2FC1"/>
    <w:rsid w:val="003F57BB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47535"/>
    <w:rsid w:val="004535BD"/>
    <w:rsid w:val="00453C16"/>
    <w:rsid w:val="0045520D"/>
    <w:rsid w:val="00455779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5D7E"/>
    <w:rsid w:val="004C73A4"/>
    <w:rsid w:val="004C7ED7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30B62"/>
    <w:rsid w:val="00531054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14E3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4BA8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05430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2DC1"/>
    <w:rsid w:val="0063400C"/>
    <w:rsid w:val="00634696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11CD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6E8C"/>
    <w:rsid w:val="00717356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11C6"/>
    <w:rsid w:val="007976F6"/>
    <w:rsid w:val="00797F38"/>
    <w:rsid w:val="007A0882"/>
    <w:rsid w:val="007A0A10"/>
    <w:rsid w:val="007A2D9F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2C9A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35ED1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31FC"/>
    <w:rsid w:val="009C444D"/>
    <w:rsid w:val="009D0B2E"/>
    <w:rsid w:val="009D1020"/>
    <w:rsid w:val="009D2E43"/>
    <w:rsid w:val="009D58CE"/>
    <w:rsid w:val="009D5D6F"/>
    <w:rsid w:val="009D7E85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0C8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13A7"/>
    <w:rsid w:val="00C12450"/>
    <w:rsid w:val="00C1706A"/>
    <w:rsid w:val="00C17F47"/>
    <w:rsid w:val="00C20D51"/>
    <w:rsid w:val="00C21656"/>
    <w:rsid w:val="00C24212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C00E4"/>
    <w:rsid w:val="00CC2A8F"/>
    <w:rsid w:val="00CC5375"/>
    <w:rsid w:val="00CD2A79"/>
    <w:rsid w:val="00CD61EA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537"/>
    <w:rsid w:val="00D338DD"/>
    <w:rsid w:val="00D34650"/>
    <w:rsid w:val="00D34A7F"/>
    <w:rsid w:val="00D35651"/>
    <w:rsid w:val="00D356F9"/>
    <w:rsid w:val="00D37551"/>
    <w:rsid w:val="00D42C30"/>
    <w:rsid w:val="00D4681A"/>
    <w:rsid w:val="00D51E2F"/>
    <w:rsid w:val="00D53D66"/>
    <w:rsid w:val="00D557D7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A5210"/>
    <w:rsid w:val="00DB0DEC"/>
    <w:rsid w:val="00DB1F9D"/>
    <w:rsid w:val="00DB3AF7"/>
    <w:rsid w:val="00DC0F8A"/>
    <w:rsid w:val="00DC6974"/>
    <w:rsid w:val="00DC7151"/>
    <w:rsid w:val="00DD2230"/>
    <w:rsid w:val="00DD5ABC"/>
    <w:rsid w:val="00DE3703"/>
    <w:rsid w:val="00DE764F"/>
    <w:rsid w:val="00DF43D0"/>
    <w:rsid w:val="00DF4C15"/>
    <w:rsid w:val="00DF62E0"/>
    <w:rsid w:val="00E0176A"/>
    <w:rsid w:val="00E0229D"/>
    <w:rsid w:val="00E10F09"/>
    <w:rsid w:val="00E154B7"/>
    <w:rsid w:val="00E1668E"/>
    <w:rsid w:val="00E2216F"/>
    <w:rsid w:val="00E26BF4"/>
    <w:rsid w:val="00E3518E"/>
    <w:rsid w:val="00E35897"/>
    <w:rsid w:val="00E372D2"/>
    <w:rsid w:val="00E3777F"/>
    <w:rsid w:val="00E40375"/>
    <w:rsid w:val="00E4617F"/>
    <w:rsid w:val="00E461EA"/>
    <w:rsid w:val="00E508BE"/>
    <w:rsid w:val="00E565D3"/>
    <w:rsid w:val="00E603DE"/>
    <w:rsid w:val="00E621D8"/>
    <w:rsid w:val="00E627FB"/>
    <w:rsid w:val="00E64D91"/>
    <w:rsid w:val="00E67476"/>
    <w:rsid w:val="00E67486"/>
    <w:rsid w:val="00E71176"/>
    <w:rsid w:val="00E72E6E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1D39"/>
    <w:rsid w:val="00EA271F"/>
    <w:rsid w:val="00EA3ADA"/>
    <w:rsid w:val="00EA3BA8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C7257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10B39"/>
    <w:rsid w:val="00F11397"/>
    <w:rsid w:val="00F116FF"/>
    <w:rsid w:val="00F161BA"/>
    <w:rsid w:val="00F20D09"/>
    <w:rsid w:val="00F21A09"/>
    <w:rsid w:val="00F24208"/>
    <w:rsid w:val="00F2576D"/>
    <w:rsid w:val="00F25D39"/>
    <w:rsid w:val="00F276E0"/>
    <w:rsid w:val="00F31E1D"/>
    <w:rsid w:val="00F355E3"/>
    <w:rsid w:val="00F41422"/>
    <w:rsid w:val="00F42505"/>
    <w:rsid w:val="00F42926"/>
    <w:rsid w:val="00F43A99"/>
    <w:rsid w:val="00F44388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978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409B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paragraph" w:customStyle="1" w:styleId="errepar1erfrancesnovedades">
    <w:name w:val="errepar_1erfrancesnovedades"/>
    <w:basedOn w:val="Normal"/>
    <w:rsid w:val="00D53D6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10807084539765.docx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eolgestion.errepar.com/sitios/eolgestion/Legislacion/20110807084929838.doc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lgestion.errepar.com/sitios/eolgestion/Legislacion/20110807084918165.docx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0DE26-5BEB-49F0-971F-4D305FAC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1010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7005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32</cp:revision>
  <cp:lastPrinted>2019-05-29T20:31:00Z</cp:lastPrinted>
  <dcterms:created xsi:type="dcterms:W3CDTF">2019-05-24T19:49:00Z</dcterms:created>
  <dcterms:modified xsi:type="dcterms:W3CDTF">2019-06-13T21:14:00Z</dcterms:modified>
</cp:coreProperties>
</file>