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5A4BA8">
        <w:rPr>
          <w:szCs w:val="24"/>
          <w:u w:val="single"/>
          <w:lang w:val="es-AR"/>
        </w:rPr>
        <w:t>9</w:t>
      </w:r>
      <w:r w:rsidR="004C7ED7">
        <w:rPr>
          <w:szCs w:val="24"/>
          <w:u w:val="single"/>
          <w:lang w:val="es-AR"/>
        </w:rPr>
        <w:t>81</w:t>
      </w:r>
    </w:p>
    <w:p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0312FA" w:rsidRPr="007C11C9" w:rsidRDefault="000312FA" w:rsidP="00C05404">
      <w:pPr>
        <w:pStyle w:val="Textoindependiente"/>
        <w:ind w:left="708"/>
        <w:rPr>
          <w:szCs w:val="24"/>
          <w:u w:val="single"/>
        </w:rPr>
      </w:pPr>
    </w:p>
    <w:p w:rsidR="004B43B8" w:rsidRDefault="00931D55" w:rsidP="00931D55">
      <w:pPr>
        <w:ind w:left="708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 w:rsidR="00EA703A">
        <w:rPr>
          <w:b/>
          <w:i/>
          <w:sz w:val="24"/>
          <w:szCs w:val="24"/>
        </w:rPr>
        <w:t xml:space="preserve"> </w:t>
      </w:r>
      <w:r w:rsidR="005A4BA8">
        <w:rPr>
          <w:b/>
          <w:i/>
          <w:sz w:val="24"/>
          <w:szCs w:val="24"/>
        </w:rPr>
        <w:t>4493</w:t>
      </w:r>
    </w:p>
    <w:p w:rsidR="00903756" w:rsidRDefault="00C34CC0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la Norma: </w:t>
      </w:r>
      <w:r w:rsidR="005A4BA8">
        <w:rPr>
          <w:b/>
          <w:i/>
          <w:sz w:val="24"/>
          <w:szCs w:val="24"/>
        </w:rPr>
        <w:tab/>
        <w:t>22/05/2019</w:t>
      </w:r>
    </w:p>
    <w:p w:rsidR="00903756" w:rsidRDefault="00903756" w:rsidP="00C05404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Boletín Oficial: </w:t>
      </w:r>
      <w:r w:rsidR="005A4BA8">
        <w:rPr>
          <w:b/>
          <w:i/>
          <w:sz w:val="24"/>
          <w:szCs w:val="24"/>
        </w:rPr>
        <w:t>23/05/2019</w:t>
      </w:r>
    </w:p>
    <w:p w:rsidR="00AD5AEF" w:rsidRDefault="00AD5AEF" w:rsidP="00C05404">
      <w:pPr>
        <w:widowControl/>
        <w:ind w:left="708"/>
        <w:jc w:val="both"/>
        <w:rPr>
          <w:b/>
          <w:sz w:val="24"/>
          <w:szCs w:val="24"/>
        </w:rPr>
      </w:pPr>
    </w:p>
    <w:p w:rsidR="00F56381" w:rsidRDefault="00F56381" w:rsidP="00C05404">
      <w:pPr>
        <w:widowControl/>
        <w:ind w:left="708"/>
        <w:jc w:val="both"/>
        <w:rPr>
          <w:b/>
          <w:sz w:val="24"/>
          <w:szCs w:val="24"/>
        </w:rPr>
      </w:pPr>
    </w:p>
    <w:p w:rsidR="005A4BA8" w:rsidRDefault="005A4BA8" w:rsidP="00235056">
      <w:pPr>
        <w:ind w:left="709" w:right="50"/>
        <w:jc w:val="both"/>
        <w:rPr>
          <w:b/>
          <w:i/>
          <w:sz w:val="24"/>
          <w:szCs w:val="24"/>
          <w:lang w:val="es-ES"/>
        </w:rPr>
      </w:pPr>
      <w:r w:rsidRPr="005A4BA8">
        <w:rPr>
          <w:b/>
          <w:i/>
          <w:sz w:val="24"/>
          <w:szCs w:val="24"/>
          <w:lang w:val="es-ES"/>
        </w:rPr>
        <w:t xml:space="preserve">Rentas del trabajo en relación de dependencia, actores y otros. </w:t>
      </w:r>
      <w:r w:rsidR="00717356">
        <w:rPr>
          <w:b/>
          <w:i/>
          <w:sz w:val="24"/>
          <w:szCs w:val="24"/>
          <w:lang w:val="es-ES"/>
        </w:rPr>
        <w:t>M</w:t>
      </w:r>
      <w:r w:rsidR="00605430">
        <w:rPr>
          <w:b/>
          <w:i/>
          <w:sz w:val="24"/>
          <w:szCs w:val="24"/>
          <w:lang w:val="es-ES"/>
        </w:rPr>
        <w:t>odificaciones</w:t>
      </w:r>
      <w:r>
        <w:rPr>
          <w:b/>
          <w:i/>
          <w:sz w:val="24"/>
          <w:szCs w:val="24"/>
          <w:lang w:val="es-ES"/>
        </w:rPr>
        <w:t>.</w:t>
      </w:r>
    </w:p>
    <w:p w:rsidR="00EA703A" w:rsidRPr="003C3F0D" w:rsidRDefault="00EA703A" w:rsidP="00EA703A">
      <w:pPr>
        <w:ind w:left="709" w:right="50"/>
        <w:jc w:val="both"/>
        <w:rPr>
          <w:b/>
          <w:i/>
          <w:sz w:val="24"/>
          <w:szCs w:val="24"/>
        </w:rPr>
      </w:pPr>
    </w:p>
    <w:p w:rsidR="008D1070" w:rsidRPr="003C3F0D" w:rsidRDefault="008D1070" w:rsidP="007F3ACB">
      <w:pPr>
        <w:jc w:val="both"/>
        <w:rPr>
          <w:sz w:val="24"/>
          <w:szCs w:val="24"/>
        </w:rPr>
      </w:pPr>
    </w:p>
    <w:p w:rsidR="00FB10CC" w:rsidRDefault="00C32706" w:rsidP="009C31FC">
      <w:pPr>
        <w:ind w:left="709" w:right="50"/>
        <w:jc w:val="both"/>
        <w:rPr>
          <w:sz w:val="24"/>
          <w:szCs w:val="24"/>
        </w:rPr>
      </w:pPr>
      <w:r w:rsidRPr="00DA5210">
        <w:rPr>
          <w:sz w:val="24"/>
          <w:szCs w:val="24"/>
        </w:rPr>
        <w:t xml:space="preserve">A través de la Resolución General </w:t>
      </w:r>
      <w:r w:rsidR="009C31FC">
        <w:rPr>
          <w:sz w:val="24"/>
          <w:szCs w:val="24"/>
        </w:rPr>
        <w:t xml:space="preserve">Nº </w:t>
      </w:r>
      <w:r w:rsidR="005A4BA8" w:rsidRPr="00DA5210">
        <w:rPr>
          <w:sz w:val="24"/>
          <w:szCs w:val="24"/>
        </w:rPr>
        <w:t>4493</w:t>
      </w:r>
      <w:r w:rsidRPr="00DA5210">
        <w:rPr>
          <w:sz w:val="24"/>
          <w:szCs w:val="24"/>
        </w:rPr>
        <w:t xml:space="preserve"> </w:t>
      </w:r>
      <w:r w:rsidR="00E72E6E" w:rsidRPr="00DA5210">
        <w:rPr>
          <w:sz w:val="24"/>
          <w:szCs w:val="24"/>
        </w:rPr>
        <w:t>la Administr</w:t>
      </w:r>
      <w:r w:rsidR="00817321" w:rsidRPr="00DA5210">
        <w:rPr>
          <w:sz w:val="24"/>
          <w:szCs w:val="24"/>
        </w:rPr>
        <w:t>ación Federal de Ingresos Públicos</w:t>
      </w:r>
      <w:r w:rsidR="00E72E6E" w:rsidRPr="00DA5210">
        <w:rPr>
          <w:sz w:val="24"/>
          <w:szCs w:val="24"/>
        </w:rPr>
        <w:t xml:space="preserve"> </w:t>
      </w:r>
      <w:r w:rsidR="00DA5210" w:rsidRPr="00DA5210">
        <w:rPr>
          <w:sz w:val="24"/>
          <w:szCs w:val="24"/>
        </w:rPr>
        <w:t>incrementa</w:t>
      </w:r>
      <w:r w:rsidR="00663FBD" w:rsidRPr="00DA5210">
        <w:rPr>
          <w:sz w:val="24"/>
          <w:szCs w:val="24"/>
        </w:rPr>
        <w:t xml:space="preserve"> el monto a partir </w:t>
      </w:r>
      <w:r w:rsidR="009C31FC">
        <w:rPr>
          <w:sz w:val="24"/>
          <w:szCs w:val="24"/>
        </w:rPr>
        <w:t xml:space="preserve">del cual </w:t>
      </w:r>
      <w:r w:rsidR="00663FBD" w:rsidRPr="00DA5210">
        <w:rPr>
          <w:sz w:val="24"/>
          <w:szCs w:val="24"/>
        </w:rPr>
        <w:t>se debe</w:t>
      </w:r>
      <w:r w:rsidR="00717356">
        <w:rPr>
          <w:sz w:val="24"/>
          <w:szCs w:val="24"/>
        </w:rPr>
        <w:t>n</w:t>
      </w:r>
      <w:r w:rsidR="00663FBD" w:rsidRPr="00DA5210">
        <w:rPr>
          <w:sz w:val="24"/>
          <w:szCs w:val="24"/>
        </w:rPr>
        <w:t xml:space="preserve"> presentar las declaraciones j</w:t>
      </w:r>
      <w:r w:rsidR="00717356">
        <w:rPr>
          <w:sz w:val="24"/>
          <w:szCs w:val="24"/>
        </w:rPr>
        <w:t>uradas patrimoniales informativa</w:t>
      </w:r>
      <w:r w:rsidR="00663FBD" w:rsidRPr="00DA5210">
        <w:rPr>
          <w:sz w:val="24"/>
          <w:szCs w:val="24"/>
        </w:rPr>
        <w:t>s.</w:t>
      </w:r>
      <w:r w:rsidR="00EA3BA8">
        <w:rPr>
          <w:sz w:val="24"/>
          <w:szCs w:val="24"/>
        </w:rPr>
        <w:t xml:space="preserve"> Asimismo, se incluyen nuevos sujetos que podrán optar por realizar </w:t>
      </w:r>
      <w:r w:rsidR="009C31FC">
        <w:rPr>
          <w:sz w:val="24"/>
          <w:szCs w:val="24"/>
        </w:rPr>
        <w:t>dicha declaración jurada por el "Régimen Simplificado"</w:t>
      </w:r>
      <w:r w:rsidR="00717356">
        <w:rPr>
          <w:sz w:val="24"/>
          <w:szCs w:val="24"/>
        </w:rPr>
        <w:t xml:space="preserve"> y se incorporan dentro de los sujetos</w:t>
      </w:r>
      <w:r w:rsidR="00605430">
        <w:rPr>
          <w:sz w:val="24"/>
          <w:szCs w:val="24"/>
        </w:rPr>
        <w:t xml:space="preserve"> obligados a la presentación del F.572 Web a aquellos que no hayan tenido modificaciones en las deducciones a informar respecto al año anterior.</w:t>
      </w: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FB10CC" w:rsidRDefault="00FB10CC" w:rsidP="00817321">
      <w:pPr>
        <w:ind w:left="709"/>
        <w:jc w:val="both"/>
        <w:rPr>
          <w:sz w:val="24"/>
          <w:szCs w:val="24"/>
        </w:rPr>
      </w:pPr>
    </w:p>
    <w:p w:rsidR="00BD5170" w:rsidRPr="00EA703A" w:rsidRDefault="00C32706" w:rsidP="00817321">
      <w:pPr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Destacamos a continuación las principales</w:t>
      </w:r>
      <w:r w:rsidR="003708B0">
        <w:rPr>
          <w:sz w:val="24"/>
          <w:szCs w:val="24"/>
        </w:rPr>
        <w:t xml:space="preserve"> modificaciones</w:t>
      </w:r>
      <w:r>
        <w:rPr>
          <w:sz w:val="24"/>
          <w:szCs w:val="24"/>
        </w:rPr>
        <w:t>:</w:t>
      </w:r>
    </w:p>
    <w:p w:rsidR="00903756" w:rsidRDefault="00903756" w:rsidP="00F56381">
      <w:pPr>
        <w:jc w:val="both"/>
        <w:rPr>
          <w:sz w:val="24"/>
          <w:szCs w:val="24"/>
          <w:highlight w:val="yellow"/>
        </w:rPr>
      </w:pPr>
    </w:p>
    <w:p w:rsidR="00BF22E5" w:rsidRPr="00412DD1" w:rsidRDefault="00BF22E5" w:rsidP="00F56381">
      <w:pPr>
        <w:jc w:val="both"/>
        <w:rPr>
          <w:sz w:val="24"/>
          <w:szCs w:val="24"/>
        </w:rPr>
      </w:pPr>
    </w:p>
    <w:p w:rsidR="008664AB" w:rsidRPr="00FB10CC" w:rsidRDefault="008664AB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 w:rsidRPr="00FB10CC">
        <w:rPr>
          <w:b/>
          <w:bCs/>
          <w:sz w:val="24"/>
          <w:szCs w:val="24"/>
          <w:u w:val="single"/>
          <w:lang w:val="es-ES" w:eastAsia="es-ES"/>
        </w:rPr>
        <w:t>Declaraciones Juradas Patrimoniales Informativas</w:t>
      </w:r>
    </w:p>
    <w:p w:rsidR="008664AB" w:rsidRPr="00412DD1" w:rsidRDefault="008664AB" w:rsidP="008664AB">
      <w:pPr>
        <w:pStyle w:val="Prrafodelista"/>
        <w:ind w:left="1134"/>
        <w:jc w:val="both"/>
        <w:rPr>
          <w:sz w:val="24"/>
          <w:szCs w:val="24"/>
        </w:rPr>
      </w:pPr>
    </w:p>
    <w:p w:rsidR="00AE1EC3" w:rsidRPr="003970D7" w:rsidRDefault="00962B27" w:rsidP="00FB10CC">
      <w:pPr>
        <w:pStyle w:val="Prrafodelista"/>
        <w:ind w:left="709"/>
        <w:jc w:val="both"/>
        <w:rPr>
          <w:sz w:val="24"/>
          <w:szCs w:val="24"/>
        </w:rPr>
      </w:pPr>
      <w:r w:rsidRPr="003970D7">
        <w:rPr>
          <w:sz w:val="24"/>
          <w:szCs w:val="24"/>
        </w:rPr>
        <w:t xml:space="preserve">Se eleva </w:t>
      </w:r>
      <w:r w:rsidR="00AE1EC3" w:rsidRPr="003970D7">
        <w:rPr>
          <w:sz w:val="24"/>
          <w:szCs w:val="24"/>
        </w:rPr>
        <w:t>a $</w:t>
      </w:r>
      <w:r w:rsidR="00931D55" w:rsidRPr="003970D7">
        <w:rPr>
          <w:sz w:val="24"/>
          <w:szCs w:val="24"/>
        </w:rPr>
        <w:t xml:space="preserve"> </w:t>
      </w:r>
      <w:r w:rsidR="00EA703A" w:rsidRPr="003970D7">
        <w:rPr>
          <w:sz w:val="24"/>
          <w:szCs w:val="24"/>
        </w:rPr>
        <w:t>1.</w:t>
      </w:r>
      <w:r w:rsidR="00170717" w:rsidRPr="003970D7">
        <w:rPr>
          <w:sz w:val="24"/>
          <w:szCs w:val="24"/>
        </w:rPr>
        <w:t>5</w:t>
      </w:r>
      <w:r w:rsidR="00AE1EC3" w:rsidRPr="003970D7">
        <w:rPr>
          <w:sz w:val="24"/>
          <w:szCs w:val="24"/>
        </w:rPr>
        <w:t>00.000</w:t>
      </w:r>
      <w:r w:rsidR="00717356">
        <w:rPr>
          <w:sz w:val="24"/>
          <w:szCs w:val="24"/>
        </w:rPr>
        <w:t>, desde el período fiscal 2018,</w:t>
      </w:r>
      <w:r w:rsidR="00AE1EC3" w:rsidRPr="003970D7">
        <w:rPr>
          <w:sz w:val="24"/>
          <w:szCs w:val="24"/>
        </w:rPr>
        <w:t xml:space="preserve"> el importe a partir del cual los beneficiarios deber</w:t>
      </w:r>
      <w:r w:rsidR="00460D49" w:rsidRPr="003970D7">
        <w:rPr>
          <w:sz w:val="24"/>
          <w:szCs w:val="24"/>
        </w:rPr>
        <w:t>á</w:t>
      </w:r>
      <w:r w:rsidR="00AE1EC3" w:rsidRPr="003970D7">
        <w:rPr>
          <w:sz w:val="24"/>
          <w:szCs w:val="24"/>
        </w:rPr>
        <w:t>n presentar las declaraciones juradas informativas de</w:t>
      </w:r>
      <w:r w:rsidR="00DC6974" w:rsidRPr="003970D7">
        <w:rPr>
          <w:sz w:val="24"/>
          <w:szCs w:val="24"/>
        </w:rPr>
        <w:t>l Impuesto</w:t>
      </w:r>
      <w:r w:rsidR="003708B0" w:rsidRPr="003970D7">
        <w:rPr>
          <w:sz w:val="24"/>
          <w:szCs w:val="24"/>
        </w:rPr>
        <w:t xml:space="preserve"> a las Ganancias y</w:t>
      </w:r>
      <w:r w:rsidR="00DC6974" w:rsidRPr="003970D7">
        <w:rPr>
          <w:sz w:val="24"/>
          <w:szCs w:val="24"/>
        </w:rPr>
        <w:t xml:space="preserve"> sobre los </w:t>
      </w:r>
      <w:r w:rsidR="003708B0" w:rsidRPr="003970D7">
        <w:rPr>
          <w:sz w:val="24"/>
          <w:szCs w:val="24"/>
        </w:rPr>
        <w:t>B</w:t>
      </w:r>
      <w:r w:rsidR="00DC6974" w:rsidRPr="003970D7">
        <w:rPr>
          <w:sz w:val="24"/>
          <w:szCs w:val="24"/>
        </w:rPr>
        <w:t xml:space="preserve">ienes </w:t>
      </w:r>
      <w:r w:rsidR="003708B0" w:rsidRPr="003970D7">
        <w:rPr>
          <w:sz w:val="24"/>
          <w:szCs w:val="24"/>
        </w:rPr>
        <w:t>P</w:t>
      </w:r>
      <w:r w:rsidR="00DC6974" w:rsidRPr="003970D7">
        <w:rPr>
          <w:sz w:val="24"/>
          <w:szCs w:val="24"/>
        </w:rPr>
        <w:t>ersonales</w:t>
      </w:r>
      <w:r w:rsidR="003708B0" w:rsidRPr="003970D7">
        <w:rPr>
          <w:sz w:val="24"/>
          <w:szCs w:val="24"/>
        </w:rPr>
        <w:t>.</w:t>
      </w:r>
    </w:p>
    <w:p w:rsidR="00DC6974" w:rsidRPr="003970D7" w:rsidRDefault="00DC6974" w:rsidP="00817321">
      <w:pPr>
        <w:pStyle w:val="Prrafodelista"/>
        <w:ind w:left="1134"/>
        <w:jc w:val="both"/>
        <w:rPr>
          <w:sz w:val="24"/>
          <w:szCs w:val="24"/>
        </w:rPr>
      </w:pPr>
    </w:p>
    <w:p w:rsidR="00DC6974" w:rsidRPr="003970D7" w:rsidRDefault="00DC6974" w:rsidP="00FB10CC">
      <w:pPr>
        <w:ind w:left="709"/>
        <w:jc w:val="both"/>
        <w:rPr>
          <w:sz w:val="24"/>
          <w:szCs w:val="24"/>
        </w:rPr>
      </w:pPr>
      <w:r w:rsidRPr="003970D7">
        <w:rPr>
          <w:sz w:val="24"/>
          <w:szCs w:val="24"/>
        </w:rPr>
        <w:t xml:space="preserve">Recordamos que los empleadores deberán comunicar a sus empleados la obligación de cumplir con la presentación </w:t>
      </w:r>
      <w:r w:rsidR="00703349" w:rsidRPr="003970D7">
        <w:rPr>
          <w:sz w:val="24"/>
          <w:szCs w:val="24"/>
        </w:rPr>
        <w:t>de las declaraciones juradas informativas mencionadas en el párrafo anterior así como también la obligación de presentar el formulario F</w:t>
      </w:r>
      <w:r w:rsidR="00E72E6E" w:rsidRPr="003970D7">
        <w:rPr>
          <w:sz w:val="24"/>
          <w:szCs w:val="24"/>
        </w:rPr>
        <w:t>.</w:t>
      </w:r>
      <w:r w:rsidR="00703349" w:rsidRPr="003970D7">
        <w:rPr>
          <w:sz w:val="24"/>
          <w:szCs w:val="24"/>
        </w:rPr>
        <w:t>572 web</w:t>
      </w:r>
      <w:r w:rsidR="00E72E6E" w:rsidRPr="003970D7">
        <w:rPr>
          <w:sz w:val="24"/>
          <w:szCs w:val="24"/>
        </w:rPr>
        <w:t xml:space="preserve"> SIRADIG</w:t>
      </w:r>
      <w:r w:rsidR="00703349" w:rsidRPr="003970D7">
        <w:rPr>
          <w:sz w:val="24"/>
          <w:szCs w:val="24"/>
        </w:rPr>
        <w:t xml:space="preserve">, conservando </w:t>
      </w:r>
      <w:r w:rsidRPr="003970D7">
        <w:rPr>
          <w:sz w:val="24"/>
          <w:szCs w:val="24"/>
        </w:rPr>
        <w:t>la constancia de la comunicación efectuada, suscripta por los respectivos beneficiarios.</w:t>
      </w:r>
    </w:p>
    <w:p w:rsidR="00F6531C" w:rsidRPr="003970D7" w:rsidRDefault="00F6531C" w:rsidP="00FB10CC">
      <w:pPr>
        <w:ind w:left="709"/>
        <w:jc w:val="both"/>
        <w:rPr>
          <w:sz w:val="24"/>
          <w:szCs w:val="24"/>
        </w:rPr>
      </w:pPr>
    </w:p>
    <w:p w:rsidR="00E92322" w:rsidRPr="003970D7" w:rsidRDefault="00E92322" w:rsidP="00FB10CC">
      <w:pPr>
        <w:pStyle w:val="Prrafodelista"/>
        <w:ind w:left="709"/>
        <w:jc w:val="both"/>
        <w:rPr>
          <w:sz w:val="24"/>
          <w:szCs w:val="24"/>
        </w:rPr>
      </w:pPr>
    </w:p>
    <w:p w:rsidR="00E92322" w:rsidRPr="003970D7" w:rsidRDefault="003970D7" w:rsidP="00E565D3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P</w:t>
      </w:r>
      <w:r w:rsidR="00412DD1" w:rsidRPr="003970D7">
        <w:rPr>
          <w:b/>
          <w:bCs/>
          <w:sz w:val="24"/>
          <w:szCs w:val="24"/>
          <w:u w:val="single"/>
          <w:lang w:val="es-ES" w:eastAsia="es-ES"/>
        </w:rPr>
        <w:t>resentación del F.572 Web SIRADIG</w:t>
      </w:r>
    </w:p>
    <w:p w:rsidR="00E92322" w:rsidRPr="003970D7" w:rsidRDefault="00E92322" w:rsidP="00FB10CC">
      <w:pPr>
        <w:pStyle w:val="Prrafodelista"/>
        <w:ind w:left="709"/>
        <w:rPr>
          <w:sz w:val="24"/>
          <w:szCs w:val="24"/>
        </w:rPr>
      </w:pPr>
    </w:p>
    <w:p w:rsidR="00E67476" w:rsidRDefault="00DA5210" w:rsidP="00FB10CC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Se establece que l</w:t>
      </w:r>
      <w:r w:rsidR="003970D7">
        <w:rPr>
          <w:sz w:val="24"/>
          <w:szCs w:val="24"/>
        </w:rPr>
        <w:t xml:space="preserve">a presentación de </w:t>
      </w:r>
      <w:r w:rsidR="003970D7" w:rsidRPr="003970D7">
        <w:rPr>
          <w:sz w:val="24"/>
          <w:szCs w:val="24"/>
        </w:rPr>
        <w:t>la información correspondiente a las deducciones anuales</w:t>
      </w:r>
      <w:r>
        <w:rPr>
          <w:sz w:val="24"/>
          <w:szCs w:val="24"/>
        </w:rPr>
        <w:t xml:space="preserve"> a través del "F.572 Web SIRADIG"</w:t>
      </w:r>
      <w:r w:rsidR="004C73A4" w:rsidRPr="003970D7">
        <w:rPr>
          <w:sz w:val="24"/>
          <w:szCs w:val="24"/>
        </w:rPr>
        <w:t xml:space="preserve"> deberá realizarse aún cuando no hubiera ingresos, deducciones y/o nuevas cargas de fa</w:t>
      </w:r>
      <w:r>
        <w:rPr>
          <w:sz w:val="24"/>
          <w:szCs w:val="24"/>
        </w:rPr>
        <w:t>milia a informar por el período, hasta el 31 de marzo inclusive del año siguiente al que se declara.</w:t>
      </w:r>
    </w:p>
    <w:p w:rsidR="00394535" w:rsidRDefault="00394535" w:rsidP="00C0048E">
      <w:pPr>
        <w:pStyle w:val="Prrafodelista"/>
        <w:ind w:left="1134"/>
        <w:jc w:val="both"/>
        <w:rPr>
          <w:sz w:val="24"/>
          <w:szCs w:val="24"/>
        </w:rPr>
      </w:pPr>
      <w:r w:rsidRPr="00E67476">
        <w:rPr>
          <w:sz w:val="24"/>
          <w:szCs w:val="24"/>
        </w:rPr>
        <w:t xml:space="preserve"> </w:t>
      </w:r>
    </w:p>
    <w:p w:rsidR="00E67476" w:rsidRDefault="00E67476" w:rsidP="00C0048E">
      <w:pPr>
        <w:pStyle w:val="Prrafodelista"/>
        <w:ind w:left="1134"/>
        <w:jc w:val="both"/>
        <w:rPr>
          <w:sz w:val="24"/>
          <w:szCs w:val="24"/>
        </w:rPr>
      </w:pPr>
    </w:p>
    <w:p w:rsidR="00E67476" w:rsidRPr="003708B0" w:rsidRDefault="003970D7" w:rsidP="003708B0">
      <w:pPr>
        <w:pStyle w:val="Prrafodelista"/>
        <w:widowControl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>Régimen Simplificado</w:t>
      </w:r>
    </w:p>
    <w:p w:rsidR="00E67476" w:rsidRPr="00E67476" w:rsidRDefault="00E67476" w:rsidP="00C0048E">
      <w:pPr>
        <w:pStyle w:val="Prrafodelista"/>
        <w:ind w:left="1134"/>
        <w:jc w:val="both"/>
        <w:rPr>
          <w:sz w:val="24"/>
          <w:szCs w:val="24"/>
          <w:lang w:val="es-ES"/>
        </w:rPr>
      </w:pPr>
    </w:p>
    <w:p w:rsidR="000F42A3" w:rsidRDefault="003970D7" w:rsidP="00FB10CC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incluyen dentro de los sujetos que </w:t>
      </w:r>
      <w:r w:rsidRPr="003970D7">
        <w:rPr>
          <w:sz w:val="24"/>
          <w:szCs w:val="24"/>
        </w:rPr>
        <w:t>podrán optar por elaborar</w:t>
      </w:r>
      <w:r>
        <w:rPr>
          <w:sz w:val="24"/>
          <w:szCs w:val="24"/>
        </w:rPr>
        <w:t xml:space="preserve"> la</w:t>
      </w:r>
      <w:r w:rsidR="004C73A4" w:rsidRPr="004C73A4">
        <w:rPr>
          <w:sz w:val="24"/>
          <w:szCs w:val="24"/>
        </w:rPr>
        <w:t xml:space="preserve"> declaración jurada informativa del </w:t>
      </w:r>
      <w:r>
        <w:rPr>
          <w:sz w:val="24"/>
          <w:szCs w:val="24"/>
        </w:rPr>
        <w:t>I</w:t>
      </w:r>
      <w:r w:rsidR="004C73A4" w:rsidRPr="004C73A4">
        <w:rPr>
          <w:sz w:val="24"/>
          <w:szCs w:val="24"/>
        </w:rPr>
        <w:t xml:space="preserve">mpuesto a las </w:t>
      </w:r>
      <w:r>
        <w:rPr>
          <w:sz w:val="24"/>
          <w:szCs w:val="24"/>
        </w:rPr>
        <w:t>G</w:t>
      </w:r>
      <w:r w:rsidR="004C73A4" w:rsidRPr="004C73A4">
        <w:rPr>
          <w:sz w:val="24"/>
          <w:szCs w:val="24"/>
        </w:rPr>
        <w:t xml:space="preserve">anancias </w:t>
      </w:r>
      <w:r>
        <w:rPr>
          <w:sz w:val="24"/>
          <w:szCs w:val="24"/>
        </w:rPr>
        <w:t xml:space="preserve">y transmitirla </w:t>
      </w:r>
      <w:r w:rsidR="004C73A4" w:rsidRPr="004C73A4">
        <w:rPr>
          <w:sz w:val="24"/>
          <w:szCs w:val="24"/>
        </w:rPr>
        <w:t>mediante el</w:t>
      </w:r>
      <w:r>
        <w:rPr>
          <w:sz w:val="24"/>
          <w:szCs w:val="24"/>
        </w:rPr>
        <w:t xml:space="preserve"> </w:t>
      </w:r>
      <w:r w:rsidR="00DE764F">
        <w:rPr>
          <w:sz w:val="24"/>
          <w:szCs w:val="24"/>
        </w:rPr>
        <w:t>"R</w:t>
      </w:r>
      <w:r w:rsidR="004C73A4" w:rsidRPr="004C73A4">
        <w:rPr>
          <w:sz w:val="24"/>
          <w:szCs w:val="24"/>
        </w:rPr>
        <w:t xml:space="preserve">égimen </w:t>
      </w:r>
      <w:r w:rsidR="00DE764F">
        <w:rPr>
          <w:sz w:val="24"/>
          <w:szCs w:val="24"/>
        </w:rPr>
        <w:t>S</w:t>
      </w:r>
      <w:r w:rsidR="004C73A4" w:rsidRPr="004C73A4">
        <w:rPr>
          <w:sz w:val="24"/>
          <w:szCs w:val="24"/>
        </w:rPr>
        <w:t>implificado</w:t>
      </w:r>
      <w:r w:rsidR="00DE764F">
        <w:rPr>
          <w:sz w:val="24"/>
          <w:szCs w:val="24"/>
        </w:rPr>
        <w:t>"</w:t>
      </w:r>
      <w:r w:rsidR="004C73A4" w:rsidRPr="004C73A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C73A4" w:rsidRPr="004C73A4">
        <w:rPr>
          <w:sz w:val="24"/>
          <w:szCs w:val="24"/>
        </w:rPr>
        <w:t xml:space="preserve"> aquellos sujetos que hayan obtenido en el año fiscal rentas gravadas por el impuesto cedular provenientes de: </w:t>
      </w:r>
    </w:p>
    <w:p w:rsidR="004C73A4" w:rsidRDefault="004C73A4" w:rsidP="004C73A4">
      <w:pPr>
        <w:pStyle w:val="Prrafodelista"/>
        <w:ind w:left="709"/>
        <w:jc w:val="both"/>
        <w:rPr>
          <w:sz w:val="24"/>
          <w:szCs w:val="24"/>
        </w:rPr>
      </w:pPr>
    </w:p>
    <w:p w:rsidR="004C73A4" w:rsidRDefault="004C73A4" w:rsidP="004C73A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Pr="004C73A4">
        <w:rPr>
          <w:sz w:val="24"/>
          <w:szCs w:val="24"/>
        </w:rPr>
        <w:t>ntereses y rendimientos producto de la colocación del capital en valores y depósitos a plazo</w:t>
      </w:r>
      <w:r>
        <w:rPr>
          <w:sz w:val="24"/>
          <w:szCs w:val="24"/>
        </w:rPr>
        <w:t>.</w:t>
      </w:r>
    </w:p>
    <w:p w:rsidR="004C73A4" w:rsidRDefault="004C73A4" w:rsidP="004C73A4">
      <w:pPr>
        <w:pStyle w:val="Prrafodelista"/>
        <w:ind w:left="1429"/>
        <w:jc w:val="both"/>
        <w:rPr>
          <w:sz w:val="24"/>
          <w:szCs w:val="24"/>
        </w:rPr>
      </w:pPr>
    </w:p>
    <w:p w:rsidR="004C73A4" w:rsidRDefault="00F44388" w:rsidP="004C73A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44388">
        <w:rPr>
          <w:sz w:val="24"/>
          <w:szCs w:val="24"/>
        </w:rPr>
        <w:t>Operaciones de enajenación de acciones, valores representativos y certificados de depósito de acciones y demás valores, cuotas y participaciones sociales -</w:t>
      </w:r>
      <w:r>
        <w:rPr>
          <w:sz w:val="24"/>
          <w:szCs w:val="24"/>
        </w:rPr>
        <w:t xml:space="preserve"> </w:t>
      </w:r>
      <w:r w:rsidRPr="00F44388">
        <w:rPr>
          <w:sz w:val="24"/>
          <w:szCs w:val="24"/>
        </w:rPr>
        <w:t>incluidas </w:t>
      </w:r>
      <w:proofErr w:type="spellStart"/>
      <w:r w:rsidRPr="00F44388">
        <w:rPr>
          <w:sz w:val="24"/>
          <w:szCs w:val="24"/>
        </w:rPr>
        <w:t>cuotapartes</w:t>
      </w:r>
      <w:proofErr w:type="spellEnd"/>
      <w:r w:rsidRPr="00F44388">
        <w:rPr>
          <w:sz w:val="24"/>
          <w:szCs w:val="24"/>
        </w:rPr>
        <w:t> de fondos comunes de inversión y certificados de participación en fideicomisos financieros y cualquier otro derecho sobre fideicomisos y contratos similares</w:t>
      </w:r>
      <w:r>
        <w:rPr>
          <w:sz w:val="24"/>
          <w:szCs w:val="24"/>
        </w:rPr>
        <w:t xml:space="preserve"> </w:t>
      </w:r>
      <w:r w:rsidRPr="00F44388">
        <w:rPr>
          <w:sz w:val="24"/>
          <w:szCs w:val="24"/>
        </w:rPr>
        <w:t>- monedas digitales, Títulos, bonos y demás valores</w:t>
      </w:r>
      <w:r w:rsidR="004C73A4">
        <w:rPr>
          <w:sz w:val="24"/>
          <w:szCs w:val="24"/>
        </w:rPr>
        <w:t>.</w:t>
      </w:r>
    </w:p>
    <w:p w:rsidR="004C73A4" w:rsidRDefault="004C73A4" w:rsidP="004C73A4">
      <w:pPr>
        <w:pStyle w:val="Prrafodelista"/>
        <w:ind w:left="1429"/>
        <w:jc w:val="both"/>
        <w:rPr>
          <w:sz w:val="24"/>
          <w:szCs w:val="24"/>
        </w:rPr>
      </w:pPr>
    </w:p>
    <w:p w:rsidR="004C73A4" w:rsidRPr="004C73A4" w:rsidRDefault="00DE764F" w:rsidP="004C73A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C73A4" w:rsidRPr="004C73A4">
        <w:rPr>
          <w:sz w:val="24"/>
          <w:szCs w:val="24"/>
        </w:rPr>
        <w:t>or la venta de inmuebles o derechos sobre los mismos</w:t>
      </w:r>
      <w:r w:rsidR="004C73A4" w:rsidRPr="00F44388">
        <w:rPr>
          <w:sz w:val="24"/>
          <w:szCs w:val="24"/>
        </w:rPr>
        <w:t>.</w:t>
      </w:r>
    </w:p>
    <w:p w:rsidR="00F6531C" w:rsidRPr="004C73A4" w:rsidRDefault="00F6531C" w:rsidP="004C73A4">
      <w:pPr>
        <w:pStyle w:val="Prrafodelista"/>
        <w:ind w:left="709"/>
        <w:jc w:val="both"/>
        <w:rPr>
          <w:sz w:val="24"/>
          <w:szCs w:val="24"/>
        </w:rPr>
      </w:pPr>
    </w:p>
    <w:p w:rsidR="00663FBD" w:rsidRDefault="00663FBD" w:rsidP="00F6531C">
      <w:pPr>
        <w:pStyle w:val="Prrafodelista"/>
        <w:rPr>
          <w:sz w:val="24"/>
          <w:szCs w:val="24"/>
          <w:highlight w:val="yellow"/>
        </w:rPr>
      </w:pPr>
    </w:p>
    <w:p w:rsidR="00E67476" w:rsidRPr="000B432A" w:rsidRDefault="00E67476" w:rsidP="000B432A">
      <w:pPr>
        <w:rPr>
          <w:sz w:val="24"/>
          <w:szCs w:val="24"/>
          <w:highlight w:val="yellow"/>
        </w:rPr>
      </w:pPr>
    </w:p>
    <w:p w:rsidR="00104384" w:rsidRPr="003708B0" w:rsidRDefault="00104384" w:rsidP="003708B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3708B0">
        <w:rPr>
          <w:b/>
          <w:sz w:val="24"/>
          <w:szCs w:val="24"/>
          <w:u w:val="single"/>
        </w:rPr>
        <w:t>Vigencia</w:t>
      </w:r>
    </w:p>
    <w:p w:rsidR="00104384" w:rsidRPr="00394535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A701EA" w:rsidRPr="003708B0" w:rsidRDefault="00F44388" w:rsidP="00092896">
      <w:pPr>
        <w:ind w:left="709"/>
        <w:jc w:val="both"/>
        <w:rPr>
          <w:b/>
          <w:sz w:val="24"/>
          <w:szCs w:val="24"/>
        </w:rPr>
      </w:pPr>
      <w:r w:rsidRPr="00FC7FF1">
        <w:rPr>
          <w:sz w:val="24"/>
          <w:szCs w:val="24"/>
          <w:lang w:val="es-ES" w:eastAsia="es-ES"/>
        </w:rPr>
        <w:t xml:space="preserve">Las disposiciones de la presente entran en vigencia a partir del día </w:t>
      </w:r>
      <w:r>
        <w:rPr>
          <w:sz w:val="24"/>
          <w:szCs w:val="24"/>
          <w:lang w:val="es-ES" w:eastAsia="es-ES"/>
        </w:rPr>
        <w:t>23</w:t>
      </w:r>
      <w:r w:rsidRPr="00FC7FF1">
        <w:rPr>
          <w:sz w:val="24"/>
          <w:szCs w:val="24"/>
          <w:lang w:val="es-ES" w:eastAsia="es-ES"/>
        </w:rPr>
        <w:t xml:space="preserve"> de </w:t>
      </w:r>
      <w:r>
        <w:rPr>
          <w:sz w:val="24"/>
          <w:szCs w:val="24"/>
          <w:lang w:val="es-ES" w:eastAsia="es-ES"/>
        </w:rPr>
        <w:t>mayo</w:t>
      </w:r>
      <w:r w:rsidRPr="00FC7FF1">
        <w:rPr>
          <w:sz w:val="24"/>
          <w:szCs w:val="24"/>
          <w:lang w:val="es-ES" w:eastAsia="es-ES"/>
        </w:rPr>
        <w:t xml:space="preserve"> de 2019</w:t>
      </w:r>
      <w:r>
        <w:rPr>
          <w:sz w:val="24"/>
          <w:szCs w:val="24"/>
          <w:lang w:val="es-ES" w:eastAsia="es-ES"/>
        </w:rPr>
        <w:t>, no obstante</w:t>
      </w:r>
      <w:r w:rsidRPr="00394535">
        <w:rPr>
          <w:sz w:val="24"/>
          <w:szCs w:val="24"/>
          <w:lang w:val="es-ES" w:eastAsia="es-ES"/>
        </w:rPr>
        <w:t xml:space="preserve"> </w:t>
      </w:r>
      <w:r w:rsidR="002D4EDF">
        <w:rPr>
          <w:sz w:val="24"/>
          <w:szCs w:val="24"/>
          <w:lang w:val="es-ES" w:eastAsia="es-ES"/>
        </w:rPr>
        <w:t xml:space="preserve">lo establecido para las Declaraciones Juradas Patrimoniales Informativas y para el Régimen Simplificado del Impuesto a las Ganancias </w:t>
      </w:r>
      <w:r w:rsidR="002D4EDF">
        <w:rPr>
          <w:b/>
          <w:sz w:val="24"/>
          <w:szCs w:val="24"/>
          <w:lang w:val="es-ES" w:eastAsia="es-ES"/>
        </w:rPr>
        <w:t>resultará</w:t>
      </w:r>
      <w:r w:rsidR="003708B0" w:rsidRPr="003708B0">
        <w:rPr>
          <w:b/>
          <w:sz w:val="24"/>
          <w:szCs w:val="24"/>
          <w:lang w:val="es-ES" w:eastAsia="es-ES"/>
        </w:rPr>
        <w:t xml:space="preserve"> de aplicación para </w:t>
      </w:r>
      <w:r w:rsidR="000F42A3" w:rsidRPr="003708B0">
        <w:rPr>
          <w:b/>
          <w:sz w:val="24"/>
          <w:szCs w:val="24"/>
          <w:lang w:val="es-ES" w:eastAsia="es-ES"/>
        </w:rPr>
        <w:t>el período fiscal 201</w:t>
      </w:r>
      <w:r w:rsidR="005A4BA8">
        <w:rPr>
          <w:b/>
          <w:sz w:val="24"/>
          <w:szCs w:val="24"/>
          <w:lang w:val="es-ES" w:eastAsia="es-ES"/>
        </w:rPr>
        <w:t>8</w:t>
      </w:r>
      <w:r w:rsidR="000B432A">
        <w:rPr>
          <w:b/>
          <w:sz w:val="24"/>
          <w:szCs w:val="24"/>
          <w:lang w:val="es-ES" w:eastAsia="es-ES"/>
        </w:rPr>
        <w:t xml:space="preserve"> y</w:t>
      </w:r>
      <w:r w:rsidR="003708B0" w:rsidRPr="003708B0">
        <w:rPr>
          <w:b/>
          <w:sz w:val="24"/>
          <w:szCs w:val="24"/>
          <w:lang w:val="es-ES" w:eastAsia="es-ES"/>
        </w:rPr>
        <w:t xml:space="preserve"> siguientes.</w:t>
      </w:r>
      <w:r w:rsidR="000F42A3" w:rsidRPr="003708B0">
        <w:rPr>
          <w:b/>
          <w:sz w:val="24"/>
          <w:szCs w:val="24"/>
          <w:lang w:val="es-ES" w:eastAsia="es-ES"/>
        </w:rPr>
        <w:t xml:space="preserve"> </w:t>
      </w:r>
    </w:p>
    <w:p w:rsidR="00A701EA" w:rsidRPr="00394535" w:rsidRDefault="00A701EA" w:rsidP="00104384">
      <w:pPr>
        <w:ind w:left="709"/>
        <w:jc w:val="both"/>
        <w:rPr>
          <w:sz w:val="24"/>
          <w:szCs w:val="24"/>
        </w:rPr>
      </w:pPr>
    </w:p>
    <w:p w:rsidR="00B72799" w:rsidRPr="00394535" w:rsidRDefault="00B72799" w:rsidP="00104384">
      <w:pPr>
        <w:ind w:left="709"/>
        <w:jc w:val="both"/>
        <w:rPr>
          <w:sz w:val="24"/>
          <w:szCs w:val="24"/>
        </w:rPr>
      </w:pPr>
    </w:p>
    <w:p w:rsidR="00B72799" w:rsidRPr="00394535" w:rsidRDefault="00B72799" w:rsidP="00104384">
      <w:pPr>
        <w:ind w:left="709"/>
        <w:jc w:val="both"/>
        <w:rPr>
          <w:sz w:val="24"/>
          <w:szCs w:val="24"/>
        </w:rPr>
      </w:pPr>
    </w:p>
    <w:p w:rsidR="00A701EA" w:rsidRPr="00394535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A701EA" w:rsidRPr="0061782E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394535">
        <w:rPr>
          <w:sz w:val="24"/>
          <w:szCs w:val="24"/>
        </w:rPr>
        <w:t xml:space="preserve">Buenos Aires, </w:t>
      </w:r>
      <w:r w:rsidR="005A4BA8">
        <w:rPr>
          <w:sz w:val="24"/>
          <w:szCs w:val="24"/>
        </w:rPr>
        <w:t>24</w:t>
      </w:r>
      <w:r w:rsidRPr="00394535">
        <w:rPr>
          <w:sz w:val="24"/>
          <w:szCs w:val="24"/>
        </w:rPr>
        <w:t xml:space="preserve"> de </w:t>
      </w:r>
      <w:r w:rsidR="005A4BA8">
        <w:rPr>
          <w:sz w:val="24"/>
          <w:szCs w:val="24"/>
        </w:rPr>
        <w:t xml:space="preserve">mayo </w:t>
      </w:r>
      <w:r w:rsidR="00447535">
        <w:rPr>
          <w:sz w:val="24"/>
          <w:szCs w:val="24"/>
        </w:rPr>
        <w:t xml:space="preserve">de </w:t>
      </w:r>
      <w:r w:rsidR="00394535" w:rsidRPr="00394535">
        <w:rPr>
          <w:sz w:val="24"/>
          <w:szCs w:val="24"/>
        </w:rPr>
        <w:t>201</w:t>
      </w:r>
      <w:r w:rsidR="005A4BA8">
        <w:rPr>
          <w:sz w:val="24"/>
          <w:szCs w:val="24"/>
        </w:rPr>
        <w:t>9</w:t>
      </w:r>
      <w:r w:rsidRPr="00394535">
        <w:rPr>
          <w:sz w:val="24"/>
          <w:szCs w:val="24"/>
        </w:rPr>
        <w:t>.</w:t>
      </w:r>
    </w:p>
    <w:p w:rsidR="005E5037" w:rsidRPr="00394535" w:rsidRDefault="00092896" w:rsidP="0039453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E5037" w:rsidRPr="00394535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88" w:rsidRDefault="00F44388">
      <w:r>
        <w:separator/>
      </w:r>
    </w:p>
  </w:endnote>
  <w:endnote w:type="continuationSeparator" w:id="1">
    <w:p w:rsidR="00F44388" w:rsidRDefault="00F4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88" w:rsidRDefault="00F44388">
    <w:pPr>
      <w:pStyle w:val="Piedepgina"/>
      <w:jc w:val="center"/>
      <w:rPr>
        <w:b/>
        <w:color w:val="808080"/>
        <w:sz w:val="12"/>
      </w:rPr>
    </w:pPr>
  </w:p>
  <w:p w:rsidR="00F44388" w:rsidRDefault="00F44388">
    <w:pPr>
      <w:pStyle w:val="Piedepgina"/>
      <w:jc w:val="center"/>
      <w:rPr>
        <w:b/>
        <w:color w:val="808080"/>
        <w:sz w:val="12"/>
      </w:rPr>
    </w:pPr>
  </w:p>
  <w:p w:rsidR="00F44388" w:rsidRDefault="00F44388">
    <w:pPr>
      <w:pStyle w:val="Piedepgina"/>
      <w:jc w:val="center"/>
      <w:rPr>
        <w:b/>
        <w:color w:val="808080"/>
        <w:sz w:val="12"/>
      </w:rPr>
    </w:pPr>
  </w:p>
  <w:p w:rsidR="00F44388" w:rsidRDefault="00F44388">
    <w:pPr>
      <w:pStyle w:val="Piedepgina"/>
      <w:jc w:val="center"/>
      <w:rPr>
        <w:b/>
        <w:color w:val="808080"/>
        <w:sz w:val="12"/>
      </w:rPr>
    </w:pPr>
  </w:p>
  <w:p w:rsidR="00F44388" w:rsidRDefault="00F44388">
    <w:pPr>
      <w:pStyle w:val="Piedepgina"/>
      <w:jc w:val="center"/>
      <w:rPr>
        <w:b/>
        <w:color w:val="808080"/>
        <w:sz w:val="12"/>
      </w:rPr>
    </w:pPr>
  </w:p>
  <w:p w:rsidR="00F44388" w:rsidRDefault="00F443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88" w:rsidRDefault="00F44388">
      <w:r>
        <w:separator/>
      </w:r>
    </w:p>
  </w:footnote>
  <w:footnote w:type="continuationSeparator" w:id="1">
    <w:p w:rsidR="00F44388" w:rsidRDefault="00F4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88" w:rsidRDefault="00F44388" w:rsidP="00E11302">
    <w:pPr>
      <w:pStyle w:val="Encabezado"/>
    </w:pPr>
  </w:p>
  <w:p w:rsidR="00E11302" w:rsidRDefault="00E11302" w:rsidP="00E11302">
    <w:pPr>
      <w:pStyle w:val="Encabezado"/>
      <w:ind w:left="709"/>
    </w:pPr>
  </w:p>
  <w:p w:rsidR="00E11302" w:rsidRDefault="00E11302" w:rsidP="00E11302">
    <w:pPr>
      <w:pStyle w:val="Encabezado"/>
      <w:pBdr>
        <w:bottom w:val="single" w:sz="12" w:space="1" w:color="000080"/>
      </w:pBdr>
      <w:ind w:left="709"/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E11302" w:rsidRDefault="00E11302" w:rsidP="00E11302">
    <w:pPr>
      <w:pStyle w:val="Encabezado"/>
      <w:ind w:left="709"/>
    </w:pPr>
  </w:p>
  <w:p w:rsidR="00E11302" w:rsidRPr="00E11302" w:rsidRDefault="00E11302" w:rsidP="00E11302">
    <w:pPr>
      <w:pStyle w:val="Encabezado"/>
      <w:ind w:left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96580"/>
    <w:multiLevelType w:val="hybridMultilevel"/>
    <w:tmpl w:val="7B82B5C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0D52D2"/>
    <w:multiLevelType w:val="hybridMultilevel"/>
    <w:tmpl w:val="31062BA0"/>
    <w:lvl w:ilvl="0" w:tplc="0C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9384580"/>
    <w:multiLevelType w:val="hybridMultilevel"/>
    <w:tmpl w:val="04FEEAB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B432A"/>
    <w:rsid w:val="000C021F"/>
    <w:rsid w:val="000C4116"/>
    <w:rsid w:val="000D07F6"/>
    <w:rsid w:val="000D64D8"/>
    <w:rsid w:val="000D69CB"/>
    <w:rsid w:val="000D7FAF"/>
    <w:rsid w:val="000E3CC9"/>
    <w:rsid w:val="000F0996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AA"/>
    <w:rsid w:val="00143C81"/>
    <w:rsid w:val="00146764"/>
    <w:rsid w:val="001503F6"/>
    <w:rsid w:val="00152A0C"/>
    <w:rsid w:val="00154BD0"/>
    <w:rsid w:val="00155576"/>
    <w:rsid w:val="00157B94"/>
    <w:rsid w:val="00160A0A"/>
    <w:rsid w:val="001615BE"/>
    <w:rsid w:val="001636F2"/>
    <w:rsid w:val="00165226"/>
    <w:rsid w:val="0016545B"/>
    <w:rsid w:val="00170717"/>
    <w:rsid w:val="00172BAD"/>
    <w:rsid w:val="001765FC"/>
    <w:rsid w:val="0018016D"/>
    <w:rsid w:val="00184E84"/>
    <w:rsid w:val="00191890"/>
    <w:rsid w:val="00192777"/>
    <w:rsid w:val="00194611"/>
    <w:rsid w:val="001947C6"/>
    <w:rsid w:val="0019483B"/>
    <w:rsid w:val="00197A46"/>
    <w:rsid w:val="00197CB6"/>
    <w:rsid w:val="001A155D"/>
    <w:rsid w:val="001A7482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056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C55"/>
    <w:rsid w:val="002A13F4"/>
    <w:rsid w:val="002A32AA"/>
    <w:rsid w:val="002B1A41"/>
    <w:rsid w:val="002B561A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4EDF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436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67B56"/>
    <w:rsid w:val="003707E4"/>
    <w:rsid w:val="003708B0"/>
    <w:rsid w:val="00380585"/>
    <w:rsid w:val="00384BC1"/>
    <w:rsid w:val="0038589B"/>
    <w:rsid w:val="00386AB8"/>
    <w:rsid w:val="00392A9C"/>
    <w:rsid w:val="003933FE"/>
    <w:rsid w:val="00394535"/>
    <w:rsid w:val="003970D7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D3641"/>
    <w:rsid w:val="003D4712"/>
    <w:rsid w:val="003D4DC9"/>
    <w:rsid w:val="003E76B8"/>
    <w:rsid w:val="003F1A1F"/>
    <w:rsid w:val="003F2FC1"/>
    <w:rsid w:val="003F57BB"/>
    <w:rsid w:val="003F5A55"/>
    <w:rsid w:val="003F7D81"/>
    <w:rsid w:val="00400253"/>
    <w:rsid w:val="004023C2"/>
    <w:rsid w:val="004029B0"/>
    <w:rsid w:val="00402E67"/>
    <w:rsid w:val="004045B3"/>
    <w:rsid w:val="0040514D"/>
    <w:rsid w:val="00412B8A"/>
    <w:rsid w:val="00412DD1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47535"/>
    <w:rsid w:val="004535BD"/>
    <w:rsid w:val="00453C16"/>
    <w:rsid w:val="0045520D"/>
    <w:rsid w:val="00455779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B1464"/>
    <w:rsid w:val="004B43B8"/>
    <w:rsid w:val="004C10D0"/>
    <w:rsid w:val="004C1975"/>
    <w:rsid w:val="004C5D7E"/>
    <w:rsid w:val="004C73A4"/>
    <w:rsid w:val="004C7ED7"/>
    <w:rsid w:val="004D7450"/>
    <w:rsid w:val="004E11B9"/>
    <w:rsid w:val="004F08CC"/>
    <w:rsid w:val="004F2111"/>
    <w:rsid w:val="004F7A30"/>
    <w:rsid w:val="00501EFF"/>
    <w:rsid w:val="00502DE1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27B75"/>
    <w:rsid w:val="00530B62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4BA8"/>
    <w:rsid w:val="005A5F1A"/>
    <w:rsid w:val="005B5452"/>
    <w:rsid w:val="005B55EE"/>
    <w:rsid w:val="005B7446"/>
    <w:rsid w:val="005C121E"/>
    <w:rsid w:val="005C3EB9"/>
    <w:rsid w:val="005C6DE4"/>
    <w:rsid w:val="005D22C7"/>
    <w:rsid w:val="005E5037"/>
    <w:rsid w:val="005F2278"/>
    <w:rsid w:val="005F5A6C"/>
    <w:rsid w:val="005F72B3"/>
    <w:rsid w:val="005F75A1"/>
    <w:rsid w:val="006000AA"/>
    <w:rsid w:val="00602322"/>
    <w:rsid w:val="00602C34"/>
    <w:rsid w:val="00605430"/>
    <w:rsid w:val="00616544"/>
    <w:rsid w:val="00616C79"/>
    <w:rsid w:val="0061782E"/>
    <w:rsid w:val="0062036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3FBD"/>
    <w:rsid w:val="00665100"/>
    <w:rsid w:val="00667E98"/>
    <w:rsid w:val="00670EE2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303A"/>
    <w:rsid w:val="006F3443"/>
    <w:rsid w:val="00701061"/>
    <w:rsid w:val="00703349"/>
    <w:rsid w:val="00704C1E"/>
    <w:rsid w:val="0070738E"/>
    <w:rsid w:val="00710F26"/>
    <w:rsid w:val="00711AF4"/>
    <w:rsid w:val="007150E8"/>
    <w:rsid w:val="00716E8C"/>
    <w:rsid w:val="00717356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882"/>
    <w:rsid w:val="007A0A10"/>
    <w:rsid w:val="007A38AD"/>
    <w:rsid w:val="007B26A7"/>
    <w:rsid w:val="007B4030"/>
    <w:rsid w:val="007B45CA"/>
    <w:rsid w:val="007C098D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17321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80F65"/>
    <w:rsid w:val="00886FEA"/>
    <w:rsid w:val="0089105B"/>
    <w:rsid w:val="0089235C"/>
    <w:rsid w:val="00892E18"/>
    <w:rsid w:val="00896248"/>
    <w:rsid w:val="00896452"/>
    <w:rsid w:val="00897174"/>
    <w:rsid w:val="00897FC9"/>
    <w:rsid w:val="008A27B8"/>
    <w:rsid w:val="008A289D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409AE"/>
    <w:rsid w:val="00940CAF"/>
    <w:rsid w:val="00943B21"/>
    <w:rsid w:val="00943E68"/>
    <w:rsid w:val="00944531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31FC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649AC"/>
    <w:rsid w:val="00A66A6A"/>
    <w:rsid w:val="00A701EA"/>
    <w:rsid w:val="00A7228A"/>
    <w:rsid w:val="00A72F32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4DCC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EC3"/>
    <w:rsid w:val="00AE4E19"/>
    <w:rsid w:val="00AE528A"/>
    <w:rsid w:val="00AF5CCB"/>
    <w:rsid w:val="00AF76E3"/>
    <w:rsid w:val="00AF7BB3"/>
    <w:rsid w:val="00B03DF0"/>
    <w:rsid w:val="00B05845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4212"/>
    <w:rsid w:val="00C32706"/>
    <w:rsid w:val="00C331F7"/>
    <w:rsid w:val="00C3389E"/>
    <w:rsid w:val="00C34B55"/>
    <w:rsid w:val="00C34CC0"/>
    <w:rsid w:val="00C35DA9"/>
    <w:rsid w:val="00C37646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C00E4"/>
    <w:rsid w:val="00CC5375"/>
    <w:rsid w:val="00CD2A79"/>
    <w:rsid w:val="00CD6E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38DD"/>
    <w:rsid w:val="00D34650"/>
    <w:rsid w:val="00D34A7F"/>
    <w:rsid w:val="00D35651"/>
    <w:rsid w:val="00D356F9"/>
    <w:rsid w:val="00D37551"/>
    <w:rsid w:val="00D4681A"/>
    <w:rsid w:val="00D51E2F"/>
    <w:rsid w:val="00D557D7"/>
    <w:rsid w:val="00D62248"/>
    <w:rsid w:val="00D65C05"/>
    <w:rsid w:val="00D665F2"/>
    <w:rsid w:val="00D671B6"/>
    <w:rsid w:val="00D67E78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933"/>
    <w:rsid w:val="00DA2EE5"/>
    <w:rsid w:val="00DA5210"/>
    <w:rsid w:val="00DB0DEC"/>
    <w:rsid w:val="00DB1F9D"/>
    <w:rsid w:val="00DC0F8A"/>
    <w:rsid w:val="00DC6974"/>
    <w:rsid w:val="00DC7151"/>
    <w:rsid w:val="00DD2230"/>
    <w:rsid w:val="00DD5ABC"/>
    <w:rsid w:val="00DE3703"/>
    <w:rsid w:val="00DE764F"/>
    <w:rsid w:val="00DF43D0"/>
    <w:rsid w:val="00DF4C15"/>
    <w:rsid w:val="00DF62E0"/>
    <w:rsid w:val="00E0176A"/>
    <w:rsid w:val="00E0229D"/>
    <w:rsid w:val="00E10F09"/>
    <w:rsid w:val="00E11302"/>
    <w:rsid w:val="00E154B7"/>
    <w:rsid w:val="00E2216F"/>
    <w:rsid w:val="00E3518E"/>
    <w:rsid w:val="00E35897"/>
    <w:rsid w:val="00E372D2"/>
    <w:rsid w:val="00E40375"/>
    <w:rsid w:val="00E4617F"/>
    <w:rsid w:val="00E461EA"/>
    <w:rsid w:val="00E508BE"/>
    <w:rsid w:val="00E565D3"/>
    <w:rsid w:val="00E603DE"/>
    <w:rsid w:val="00E621D8"/>
    <w:rsid w:val="00E627FB"/>
    <w:rsid w:val="00E64D91"/>
    <w:rsid w:val="00E67476"/>
    <w:rsid w:val="00E67486"/>
    <w:rsid w:val="00E71176"/>
    <w:rsid w:val="00E72E6E"/>
    <w:rsid w:val="00E7310A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1D39"/>
    <w:rsid w:val="00EA271F"/>
    <w:rsid w:val="00EA3ADA"/>
    <w:rsid w:val="00EA3BA8"/>
    <w:rsid w:val="00EA703A"/>
    <w:rsid w:val="00EB093C"/>
    <w:rsid w:val="00EB1F41"/>
    <w:rsid w:val="00EB34E9"/>
    <w:rsid w:val="00EB3E70"/>
    <w:rsid w:val="00EB4562"/>
    <w:rsid w:val="00EC08B9"/>
    <w:rsid w:val="00EC4AD4"/>
    <w:rsid w:val="00EC617E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10B39"/>
    <w:rsid w:val="00F11397"/>
    <w:rsid w:val="00F116FF"/>
    <w:rsid w:val="00F161BA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4388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0CC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link w:val="EncabezadoCar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character" w:customStyle="1" w:styleId="EncabezadoCar">
    <w:name w:val="Encabezado Car"/>
    <w:basedOn w:val="Fuentedeprrafopredeter"/>
    <w:link w:val="Encabezado"/>
    <w:rsid w:val="00E11302"/>
    <w:rPr>
      <w:sz w:val="24"/>
      <w:lang w:val="es-ES_tradnl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C1C9-0513-4182-8BAD-CBC1442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2966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10</cp:revision>
  <cp:lastPrinted>2019-05-24T19:49:00Z</cp:lastPrinted>
  <dcterms:created xsi:type="dcterms:W3CDTF">2019-05-24T19:49:00Z</dcterms:created>
  <dcterms:modified xsi:type="dcterms:W3CDTF">2019-05-30T22:20:00Z</dcterms:modified>
</cp:coreProperties>
</file>