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C51" w:rsidRDefault="00FA7C51" w:rsidP="00FA7C51">
      <w:pPr>
        <w:ind w:right="1043"/>
        <w:rPr>
          <w:b/>
          <w:sz w:val="28"/>
          <w:u w:val="single"/>
        </w:rPr>
      </w:pPr>
      <w:r>
        <w:rPr>
          <w:b/>
          <w:sz w:val="28"/>
          <w:u w:val="single"/>
        </w:rPr>
        <w:t>CIRCULAR IMPOSITIVA NRO.9</w:t>
      </w:r>
      <w:r w:rsidR="00855A59">
        <w:rPr>
          <w:b/>
          <w:sz w:val="28"/>
          <w:u w:val="single"/>
        </w:rPr>
        <w:t>7</w:t>
      </w:r>
      <w:r>
        <w:rPr>
          <w:b/>
          <w:sz w:val="28"/>
          <w:u w:val="single"/>
        </w:rPr>
        <w:t>7</w:t>
      </w:r>
    </w:p>
    <w:p w:rsidR="00FA7C51" w:rsidRDefault="00FA7C51" w:rsidP="00FA7C51">
      <w:pPr>
        <w:pStyle w:val="Ttulo5"/>
        <w:jc w:val="left"/>
        <w:rPr>
          <w:i/>
        </w:rPr>
      </w:pPr>
    </w:p>
    <w:p w:rsidR="00FA7C51" w:rsidRDefault="00FA7C51" w:rsidP="00FA7C51"/>
    <w:p w:rsidR="00FA7C51" w:rsidRDefault="00FA7C51" w:rsidP="00FA7C51">
      <w:pPr>
        <w:pStyle w:val="Ttulo5"/>
        <w:jc w:val="left"/>
        <w:rPr>
          <w:i/>
          <w:lang w:val="es-ES_tradnl"/>
        </w:rPr>
      </w:pPr>
      <w:r>
        <w:rPr>
          <w:i/>
          <w:lang w:val="es-ES_tradnl"/>
        </w:rPr>
        <w:t>Resolución General N° 4444 AFIP</w:t>
      </w:r>
    </w:p>
    <w:p w:rsidR="00FA7C51" w:rsidRDefault="00FA7C51" w:rsidP="00FA7C51">
      <w:pPr>
        <w:pStyle w:val="Ttulo5"/>
        <w:jc w:val="left"/>
        <w:rPr>
          <w:i/>
          <w:lang w:val="es-ES_tradnl"/>
        </w:rPr>
      </w:pPr>
      <w:r>
        <w:rPr>
          <w:i/>
          <w:lang w:val="es-ES_tradnl"/>
        </w:rPr>
        <w:t>Fecha de Norma: 27/03/2019</w:t>
      </w:r>
    </w:p>
    <w:p w:rsidR="00FA7C51" w:rsidRDefault="00FA7C51" w:rsidP="00FA7C51">
      <w:pPr>
        <w:pStyle w:val="Ttulo5"/>
        <w:jc w:val="left"/>
        <w:rPr>
          <w:i/>
          <w:lang w:val="es-ES_tradnl"/>
        </w:rPr>
      </w:pPr>
      <w:r>
        <w:rPr>
          <w:i/>
          <w:lang w:val="es-ES_tradnl"/>
        </w:rPr>
        <w:t>Boletín Oficial: 28/03/2019</w:t>
      </w:r>
    </w:p>
    <w:p w:rsidR="00FA7C51" w:rsidRDefault="00FA7C51" w:rsidP="00FA7C51">
      <w:pPr>
        <w:pStyle w:val="Ttulo5"/>
        <w:jc w:val="left"/>
        <w:rPr>
          <w:i/>
          <w:lang w:val="es-ES_tradnl"/>
        </w:rPr>
      </w:pPr>
    </w:p>
    <w:p w:rsidR="0023552A" w:rsidRPr="0023552A" w:rsidRDefault="0023552A" w:rsidP="0023552A"/>
    <w:p w:rsidR="00FA7C51" w:rsidRPr="00FA7C51" w:rsidRDefault="00EA5123" w:rsidP="0023552A">
      <w:pPr>
        <w:pStyle w:val="Ttulo5"/>
        <w:ind w:right="-568"/>
        <w:jc w:val="both"/>
        <w:rPr>
          <w:u w:val="single"/>
          <w:lang w:val="es-ES_tradnl"/>
        </w:rPr>
      </w:pPr>
      <w:r w:rsidRPr="008E0771">
        <w:rPr>
          <w:u w:val="single"/>
          <w:lang w:val="es-ES_tradnl"/>
        </w:rPr>
        <w:t>Factura</w:t>
      </w:r>
      <w:r w:rsidR="00855A59">
        <w:rPr>
          <w:u w:val="single"/>
          <w:lang w:val="es-ES_tradnl"/>
        </w:rPr>
        <w:t>ción</w:t>
      </w:r>
      <w:r w:rsidRPr="008E0771">
        <w:rPr>
          <w:u w:val="single"/>
          <w:lang w:val="es-ES_tradnl"/>
        </w:rPr>
        <w:t xml:space="preserve"> </w:t>
      </w:r>
      <w:r w:rsidR="008E0771" w:rsidRPr="008E0771">
        <w:rPr>
          <w:u w:val="single"/>
          <w:lang w:val="es-ES_tradnl"/>
        </w:rPr>
        <w:t>Electrónica</w:t>
      </w:r>
      <w:r w:rsidRPr="008E0771">
        <w:rPr>
          <w:u w:val="single"/>
          <w:lang w:val="es-ES_tradnl"/>
        </w:rPr>
        <w:t xml:space="preserve"> y Controla</w:t>
      </w:r>
      <w:r w:rsidR="008E0771" w:rsidRPr="008E0771">
        <w:rPr>
          <w:u w:val="single"/>
          <w:lang w:val="es-ES_tradnl"/>
        </w:rPr>
        <w:t xml:space="preserve">dores Fiscales. Adecuaciones. </w:t>
      </w:r>
    </w:p>
    <w:p w:rsidR="00C57BB8" w:rsidRDefault="00C57BB8" w:rsidP="0023552A">
      <w:pPr>
        <w:ind w:right="-568"/>
        <w:jc w:val="both"/>
      </w:pPr>
    </w:p>
    <w:p w:rsidR="0023552A" w:rsidRDefault="0023552A" w:rsidP="0023552A">
      <w:pPr>
        <w:ind w:right="-568"/>
        <w:jc w:val="both"/>
      </w:pPr>
    </w:p>
    <w:p w:rsidR="00FA7C51" w:rsidRDefault="00FA7C51" w:rsidP="0023552A">
      <w:pPr>
        <w:ind w:right="-568"/>
        <w:jc w:val="both"/>
      </w:pPr>
      <w:r>
        <w:t>A través de la Resolución General 4444 AFIP introduce diversas adecuaciones en materi</w:t>
      </w:r>
      <w:r w:rsidR="0023552A">
        <w:t>a de facturación y registración</w:t>
      </w:r>
      <w:r>
        <w:t xml:space="preserve"> (</w:t>
      </w:r>
      <w:r w:rsidR="0023552A">
        <w:t>v</w:t>
      </w:r>
      <w:r>
        <w:t xml:space="preserve">er </w:t>
      </w:r>
      <w:r w:rsidR="0023552A">
        <w:t>C</w:t>
      </w:r>
      <w:r>
        <w:t>ircular 930 y 938)</w:t>
      </w:r>
      <w:r w:rsidR="0023552A">
        <w:t>.</w:t>
      </w:r>
    </w:p>
    <w:p w:rsidR="00FA7C51" w:rsidRDefault="00FA7C51" w:rsidP="0023552A">
      <w:pPr>
        <w:ind w:right="-568"/>
        <w:jc w:val="both"/>
      </w:pPr>
    </w:p>
    <w:p w:rsidR="00FA7C51" w:rsidRDefault="00FA7C51" w:rsidP="0023552A">
      <w:pPr>
        <w:ind w:right="-568"/>
        <w:jc w:val="both"/>
      </w:pPr>
    </w:p>
    <w:p w:rsidR="00FA7C51" w:rsidRDefault="00581F00" w:rsidP="0023552A">
      <w:pPr>
        <w:ind w:right="-568"/>
        <w:jc w:val="both"/>
        <w:rPr>
          <w:b/>
          <w:u w:val="single"/>
        </w:rPr>
      </w:pPr>
      <w:r>
        <w:rPr>
          <w:b/>
          <w:u w:val="single"/>
        </w:rPr>
        <w:t xml:space="preserve">Las modificaciones </w:t>
      </w:r>
      <w:r w:rsidR="00FA7C51" w:rsidRPr="00FA7C51">
        <w:rPr>
          <w:b/>
          <w:u w:val="single"/>
        </w:rPr>
        <w:t>más relevantes son los que se detallan a continuación:</w:t>
      </w:r>
    </w:p>
    <w:p w:rsidR="0023552A" w:rsidRDefault="0023552A" w:rsidP="0023552A">
      <w:pPr>
        <w:ind w:right="-568"/>
        <w:jc w:val="both"/>
        <w:rPr>
          <w:b/>
          <w:u w:val="single"/>
        </w:rPr>
      </w:pPr>
    </w:p>
    <w:p w:rsidR="00FA7C51" w:rsidRDefault="00FA7C51" w:rsidP="0023552A">
      <w:pPr>
        <w:ind w:left="709" w:right="-568" w:hanging="425"/>
        <w:jc w:val="both"/>
        <w:rPr>
          <w:b/>
          <w:u w:val="single"/>
        </w:rPr>
      </w:pPr>
    </w:p>
    <w:p w:rsidR="008B400B" w:rsidRPr="008B400B" w:rsidRDefault="008B400B" w:rsidP="0023552A">
      <w:pPr>
        <w:pStyle w:val="Prrafodelista"/>
        <w:numPr>
          <w:ilvl w:val="0"/>
          <w:numId w:val="1"/>
        </w:numPr>
        <w:ind w:left="709" w:right="-568" w:hanging="425"/>
        <w:jc w:val="both"/>
        <w:rPr>
          <w:b/>
          <w:u w:val="single"/>
        </w:rPr>
      </w:pPr>
      <w:r>
        <w:t>A partir del 02/05/2019</w:t>
      </w:r>
      <w:r w:rsidR="00787AA6" w:rsidRPr="008B400B">
        <w:rPr>
          <w:u w:val="single"/>
        </w:rPr>
        <w:t>se eleva a $10.000</w:t>
      </w:r>
      <w:r w:rsidRPr="008B400B">
        <w:rPr>
          <w:u w:val="single"/>
        </w:rPr>
        <w:t>.-</w:t>
      </w:r>
      <w:r w:rsidR="00787AA6" w:rsidRPr="008B400B">
        <w:rPr>
          <w:u w:val="single"/>
        </w:rPr>
        <w:t xml:space="preserve"> el importe a partir del cual se debe identificar al consumidor final</w:t>
      </w:r>
      <w:r w:rsidR="00787AA6">
        <w:t xml:space="preserve">, </w:t>
      </w:r>
      <w:r w:rsidR="00787AA6" w:rsidRPr="008B400B">
        <w:rPr>
          <w:u w:val="single"/>
        </w:rPr>
        <w:t>solamente cuando se trate de operaciones realizadas con tarjeta de crédito, debito u otro medio de pago electrónico</w:t>
      </w:r>
      <w:r w:rsidR="00787AA6">
        <w:t xml:space="preserve">. </w:t>
      </w:r>
      <w:r>
        <w:t xml:space="preserve">El requisito de identificación se reducirá a un importe igual o superior a $ 5.000.- cuando el pago no se efectúa por algún medio electrónico autorizado. </w:t>
      </w:r>
    </w:p>
    <w:p w:rsidR="00FA7C51" w:rsidRPr="00DF7C22" w:rsidRDefault="008B400B" w:rsidP="008B400B">
      <w:pPr>
        <w:pStyle w:val="Prrafodelista"/>
        <w:ind w:left="709" w:right="-568"/>
        <w:jc w:val="both"/>
        <w:rPr>
          <w:b/>
          <w:u w:val="single"/>
        </w:rPr>
      </w:pPr>
      <w:r>
        <w:t>Los mencionados importes se actualizarán por semestre calendario (enero y julio de cada año). La primera actualización se efectuará a partir de enero 2020.</w:t>
      </w:r>
    </w:p>
    <w:p w:rsidR="00DF7C22" w:rsidRDefault="00DF7C22" w:rsidP="0023552A">
      <w:pPr>
        <w:pStyle w:val="Prrafodelista"/>
        <w:ind w:left="709" w:right="-568" w:hanging="425"/>
        <w:jc w:val="both"/>
        <w:rPr>
          <w:b/>
          <w:u w:val="single"/>
        </w:rPr>
      </w:pPr>
    </w:p>
    <w:p w:rsidR="008E0771" w:rsidRDefault="008E0771" w:rsidP="0023552A">
      <w:pPr>
        <w:pStyle w:val="Prrafodelista"/>
        <w:ind w:left="709" w:right="-568" w:hanging="425"/>
        <w:jc w:val="both"/>
        <w:rPr>
          <w:b/>
          <w:u w:val="single"/>
        </w:rPr>
      </w:pPr>
    </w:p>
    <w:p w:rsidR="008E0771" w:rsidRPr="001B7759" w:rsidRDefault="008E0771" w:rsidP="008E0771">
      <w:pPr>
        <w:pStyle w:val="Prrafodelista"/>
        <w:numPr>
          <w:ilvl w:val="0"/>
          <w:numId w:val="5"/>
        </w:numPr>
        <w:ind w:left="709" w:right="-568" w:hanging="425"/>
        <w:jc w:val="both"/>
        <w:rPr>
          <w:lang w:val="es-ES"/>
        </w:rPr>
      </w:pPr>
      <w:r>
        <w:rPr>
          <w:lang w:val="es-ES"/>
        </w:rPr>
        <w:t xml:space="preserve">Se extiende el plazo de la posibilidad de utilización del </w:t>
      </w:r>
      <w:r w:rsidRPr="008E2409">
        <w:rPr>
          <w:u w:val="single"/>
          <w:lang w:val="es-ES"/>
        </w:rPr>
        <w:t>programa aplicativo denominado “AFIP DGI-RECE” - Régimen de Emisión de Comprobantes Electrónicos</w:t>
      </w:r>
      <w:r>
        <w:rPr>
          <w:lang w:val="es-ES"/>
        </w:rPr>
        <w:t>- versión 4.0 hasta el 30 de Junio de 2019.</w:t>
      </w:r>
    </w:p>
    <w:p w:rsidR="008E0771" w:rsidRDefault="008E0771" w:rsidP="0023552A">
      <w:pPr>
        <w:pStyle w:val="Prrafodelista"/>
        <w:ind w:left="709" w:right="-568" w:hanging="425"/>
        <w:jc w:val="both"/>
        <w:rPr>
          <w:b/>
          <w:u w:val="single"/>
        </w:rPr>
      </w:pPr>
    </w:p>
    <w:p w:rsidR="008E0771" w:rsidRDefault="008E0771" w:rsidP="0023552A">
      <w:pPr>
        <w:pStyle w:val="Prrafodelista"/>
        <w:ind w:left="709" w:right="-568" w:hanging="425"/>
        <w:jc w:val="both"/>
        <w:rPr>
          <w:b/>
          <w:u w:val="single"/>
        </w:rPr>
      </w:pPr>
    </w:p>
    <w:p w:rsidR="0023552A" w:rsidRDefault="007B0870" w:rsidP="0023552A">
      <w:pPr>
        <w:pStyle w:val="Prrafodelista"/>
        <w:numPr>
          <w:ilvl w:val="0"/>
          <w:numId w:val="1"/>
        </w:numPr>
        <w:ind w:left="709" w:right="-568" w:hanging="425"/>
        <w:jc w:val="both"/>
      </w:pPr>
      <w:r>
        <w:t xml:space="preserve">Con respecto a los </w:t>
      </w:r>
      <w:r w:rsidRPr="007B0870">
        <w:rPr>
          <w:u w:val="single"/>
        </w:rPr>
        <w:t>c</w:t>
      </w:r>
      <w:r w:rsidR="005A3F86" w:rsidRPr="007B0870">
        <w:rPr>
          <w:u w:val="single"/>
        </w:rPr>
        <w:t>ontroladores fiscales de vieja tecnología</w:t>
      </w:r>
      <w:r w:rsidR="005A3F86">
        <w:t xml:space="preserve">se prorroga </w:t>
      </w:r>
      <w:r>
        <w:t xml:space="preserve">la fecha para </w:t>
      </w:r>
      <w:r w:rsidR="005A3F86">
        <w:t xml:space="preserve">su comercialización o </w:t>
      </w:r>
      <w:r>
        <w:t xml:space="preserve">recambio de memoria hasta el 31 de agosto de </w:t>
      </w:r>
      <w:r w:rsidR="005A3F86">
        <w:t>2019.Posterior a esta fecha, solo se podrán efectuar</w:t>
      </w:r>
      <w:r>
        <w:t>se</w:t>
      </w:r>
      <w:r w:rsidR="005A3F86">
        <w:t xml:space="preserve"> recambios de memoria</w:t>
      </w:r>
      <w:r>
        <w:t xml:space="preserve"> de equipos de vieja tecnología</w:t>
      </w:r>
      <w:r w:rsidR="005A3F86">
        <w:t xml:space="preserve"> por motivos de fallas técnicas durante el primer año contado desde su alta.</w:t>
      </w:r>
    </w:p>
    <w:p w:rsidR="00BF05D6" w:rsidRDefault="00BF05D6" w:rsidP="00BF05D6">
      <w:pPr>
        <w:pStyle w:val="Prrafodelista"/>
        <w:ind w:left="709" w:right="-568"/>
        <w:jc w:val="both"/>
      </w:pPr>
    </w:p>
    <w:p w:rsidR="007B0870" w:rsidRDefault="007B0870" w:rsidP="007B0870">
      <w:pPr>
        <w:ind w:left="709" w:right="-568"/>
        <w:jc w:val="both"/>
      </w:pPr>
      <w:r>
        <w:t xml:space="preserve">Los mencionados equipos </w:t>
      </w:r>
      <w:r w:rsidR="005A3F86">
        <w:t xml:space="preserve">de vieja tecnología podrán utilizarse </w:t>
      </w:r>
      <w:r>
        <w:t xml:space="preserve">según el cronograma que conforme a la cantidad de equipos homologados se detalla a continuación, debiéndose utilizar solo equipos de nueva tecnología a partir de las fechas indicadas para cada rango: </w:t>
      </w:r>
    </w:p>
    <w:p w:rsidR="007B0870" w:rsidRDefault="007B0870" w:rsidP="007B0870">
      <w:pPr>
        <w:ind w:left="709" w:right="-568"/>
        <w:jc w:val="both"/>
      </w:pPr>
    </w:p>
    <w:tbl>
      <w:tblPr>
        <w:tblpPr w:leftFromText="141" w:rightFromText="141" w:vertAnchor="page" w:horzAnchor="page" w:tblpX="1876" w:tblpY="12931"/>
        <w:tblW w:w="8991"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4313"/>
        <w:gridCol w:w="4678"/>
      </w:tblGrid>
      <w:tr w:rsidR="008E0771" w:rsidRPr="007B0870" w:rsidTr="00BF05D6">
        <w:trPr>
          <w:trHeight w:val="155"/>
        </w:trPr>
        <w:tc>
          <w:tcPr>
            <w:tcW w:w="4313" w:type="dxa"/>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8E0771" w:rsidRDefault="008E0771" w:rsidP="00BF05D6">
            <w:pPr>
              <w:ind w:right="-568"/>
              <w:jc w:val="both"/>
              <w:rPr>
                <w:b/>
                <w:bCs/>
                <w:lang w:val="es-ES"/>
              </w:rPr>
            </w:pPr>
            <w:r>
              <w:rPr>
                <w:b/>
                <w:bCs/>
                <w:lang w:val="es-ES"/>
              </w:rPr>
              <w:t xml:space="preserve">          Cantidad de equipos de vieja </w:t>
            </w:r>
          </w:p>
          <w:p w:rsidR="008E0771" w:rsidRPr="007B0870" w:rsidRDefault="008E0771" w:rsidP="00BF05D6">
            <w:pPr>
              <w:ind w:right="-568"/>
              <w:jc w:val="both"/>
              <w:rPr>
                <w:lang w:val="es-ES"/>
              </w:rPr>
            </w:pPr>
            <w:r>
              <w:rPr>
                <w:b/>
                <w:bCs/>
                <w:lang w:val="es-ES"/>
              </w:rPr>
              <w:t xml:space="preserve">                tecnología habilitados</w:t>
            </w:r>
          </w:p>
        </w:tc>
        <w:tc>
          <w:tcPr>
            <w:tcW w:w="4678" w:type="dxa"/>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8E0771" w:rsidRDefault="008E0771" w:rsidP="00BF05D6">
            <w:pPr>
              <w:ind w:right="-568"/>
              <w:jc w:val="both"/>
              <w:rPr>
                <w:b/>
                <w:bCs/>
                <w:lang w:val="es-ES"/>
              </w:rPr>
            </w:pPr>
            <w:r>
              <w:rPr>
                <w:b/>
                <w:bCs/>
                <w:lang w:val="es-ES"/>
              </w:rPr>
              <w:t xml:space="preserve">       Rango de fechas para el recambio </w:t>
            </w:r>
          </w:p>
          <w:p w:rsidR="008E0771" w:rsidRPr="007B0870" w:rsidRDefault="008E0771" w:rsidP="00BF05D6">
            <w:pPr>
              <w:ind w:right="-568"/>
              <w:jc w:val="both"/>
              <w:rPr>
                <w:lang w:val="es-ES"/>
              </w:rPr>
            </w:pPr>
            <w:r>
              <w:rPr>
                <w:b/>
                <w:bCs/>
                <w:lang w:val="es-ES"/>
              </w:rPr>
              <w:t xml:space="preserve">             de vieja a nueva tecnología</w:t>
            </w:r>
          </w:p>
        </w:tc>
      </w:tr>
      <w:tr w:rsidR="008E0771" w:rsidRPr="007B0870" w:rsidTr="00BF05D6">
        <w:trPr>
          <w:trHeight w:val="155"/>
        </w:trPr>
        <w:tc>
          <w:tcPr>
            <w:tcW w:w="43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0771" w:rsidRPr="007B0870" w:rsidRDefault="008E0771" w:rsidP="00BF05D6">
            <w:pPr>
              <w:ind w:right="-568"/>
              <w:jc w:val="both"/>
              <w:rPr>
                <w:lang w:val="es-ES"/>
              </w:rPr>
            </w:pPr>
            <w:r>
              <w:rPr>
                <w:lang w:val="es-ES"/>
              </w:rPr>
              <w:t>Mayor o igual a 11</w:t>
            </w:r>
          </w:p>
        </w:tc>
        <w:tc>
          <w:tcPr>
            <w:tcW w:w="46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0771" w:rsidRPr="007B0870" w:rsidRDefault="008E0771" w:rsidP="00BF05D6">
            <w:pPr>
              <w:ind w:left="709" w:right="-568"/>
              <w:jc w:val="both"/>
              <w:rPr>
                <w:lang w:val="es-ES"/>
              </w:rPr>
            </w:pPr>
            <w:r>
              <w:rPr>
                <w:lang w:val="es-ES"/>
              </w:rPr>
              <w:t>01/04/2021 – 31/05/2021</w:t>
            </w:r>
          </w:p>
        </w:tc>
      </w:tr>
      <w:tr w:rsidR="008E0771" w:rsidRPr="007B0870" w:rsidTr="00BF05D6">
        <w:trPr>
          <w:trHeight w:val="75"/>
        </w:trPr>
        <w:tc>
          <w:tcPr>
            <w:tcW w:w="43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0771" w:rsidRPr="007B0870" w:rsidRDefault="008E0771" w:rsidP="00BF05D6">
            <w:pPr>
              <w:ind w:right="-568"/>
              <w:jc w:val="both"/>
              <w:rPr>
                <w:lang w:val="es-ES"/>
              </w:rPr>
            </w:pPr>
            <w:r>
              <w:rPr>
                <w:lang w:val="es-ES"/>
              </w:rPr>
              <w:t>Mayor o igual a 2 menor o igual a 10</w:t>
            </w:r>
          </w:p>
        </w:tc>
        <w:tc>
          <w:tcPr>
            <w:tcW w:w="46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0771" w:rsidRPr="007B0870" w:rsidRDefault="008E0771" w:rsidP="00BF05D6">
            <w:pPr>
              <w:ind w:left="709" w:right="-568"/>
              <w:jc w:val="both"/>
              <w:rPr>
                <w:lang w:val="es-ES"/>
              </w:rPr>
            </w:pPr>
            <w:r>
              <w:rPr>
                <w:lang w:val="es-ES"/>
              </w:rPr>
              <w:t>01/06/2021 – 31/07/2021</w:t>
            </w:r>
          </w:p>
        </w:tc>
      </w:tr>
      <w:tr w:rsidR="008E0771" w:rsidRPr="007B0870" w:rsidTr="00BF05D6">
        <w:trPr>
          <w:trHeight w:val="20"/>
        </w:trPr>
        <w:tc>
          <w:tcPr>
            <w:tcW w:w="43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0771" w:rsidRPr="007B0870" w:rsidRDefault="008E0771" w:rsidP="00BF05D6">
            <w:pPr>
              <w:ind w:right="-568"/>
              <w:jc w:val="both"/>
              <w:rPr>
                <w:lang w:val="es-ES"/>
              </w:rPr>
            </w:pPr>
            <w:r>
              <w:rPr>
                <w:lang w:val="es-ES"/>
              </w:rPr>
              <w:t>Igual a 1</w:t>
            </w:r>
          </w:p>
        </w:tc>
        <w:tc>
          <w:tcPr>
            <w:tcW w:w="46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E0771" w:rsidRPr="007B0870" w:rsidRDefault="008E0771" w:rsidP="00BF05D6">
            <w:pPr>
              <w:ind w:left="709" w:right="-568"/>
              <w:jc w:val="both"/>
              <w:rPr>
                <w:lang w:val="es-ES"/>
              </w:rPr>
            </w:pPr>
            <w:r>
              <w:rPr>
                <w:lang w:val="es-ES"/>
              </w:rPr>
              <w:t>01/08/2021 – 30/09/2021</w:t>
            </w:r>
          </w:p>
        </w:tc>
      </w:tr>
    </w:tbl>
    <w:p w:rsidR="007B0870" w:rsidRDefault="007B0870" w:rsidP="007B0870">
      <w:pPr>
        <w:ind w:left="709" w:right="-568"/>
        <w:jc w:val="both"/>
      </w:pPr>
    </w:p>
    <w:p w:rsidR="007B0870" w:rsidRDefault="007B0870" w:rsidP="007B0870">
      <w:pPr>
        <w:ind w:left="709" w:right="-568"/>
        <w:jc w:val="both"/>
      </w:pPr>
    </w:p>
    <w:p w:rsidR="007B0870" w:rsidRDefault="007B0870" w:rsidP="007B0870">
      <w:pPr>
        <w:ind w:left="709" w:right="-568"/>
        <w:jc w:val="both"/>
      </w:pPr>
    </w:p>
    <w:p w:rsidR="007B0870" w:rsidRDefault="007B0870" w:rsidP="007B0870">
      <w:pPr>
        <w:ind w:left="709" w:right="-568"/>
        <w:jc w:val="both"/>
      </w:pPr>
    </w:p>
    <w:p w:rsidR="008E0771" w:rsidRDefault="008E0771" w:rsidP="007B0870">
      <w:pPr>
        <w:ind w:left="709" w:right="-568"/>
        <w:jc w:val="both"/>
      </w:pPr>
    </w:p>
    <w:p w:rsidR="008E0771" w:rsidRDefault="008E0771" w:rsidP="007B0870">
      <w:pPr>
        <w:ind w:left="709" w:right="-568"/>
        <w:jc w:val="both"/>
      </w:pPr>
    </w:p>
    <w:p w:rsidR="008E0771" w:rsidRDefault="008E0771" w:rsidP="007B0870">
      <w:pPr>
        <w:ind w:left="709" w:right="-568"/>
        <w:jc w:val="both"/>
      </w:pPr>
    </w:p>
    <w:p w:rsidR="008E0771" w:rsidRDefault="008E0771" w:rsidP="007B0870">
      <w:pPr>
        <w:ind w:left="709" w:right="-568"/>
        <w:jc w:val="both"/>
      </w:pPr>
    </w:p>
    <w:p w:rsidR="00432A19" w:rsidRDefault="00432A19" w:rsidP="007B0870">
      <w:pPr>
        <w:ind w:left="709" w:right="-568"/>
        <w:jc w:val="both"/>
      </w:pPr>
    </w:p>
    <w:p w:rsidR="00B7768C" w:rsidRDefault="00B7768C" w:rsidP="007B0870">
      <w:pPr>
        <w:ind w:left="709" w:right="-568"/>
        <w:jc w:val="both"/>
      </w:pPr>
    </w:p>
    <w:p w:rsidR="001A5493" w:rsidRDefault="00432A19" w:rsidP="007B0870">
      <w:pPr>
        <w:pStyle w:val="Prrafodelista"/>
        <w:numPr>
          <w:ilvl w:val="0"/>
          <w:numId w:val="9"/>
        </w:numPr>
        <w:ind w:left="709" w:right="-568" w:hanging="425"/>
        <w:jc w:val="both"/>
      </w:pPr>
      <w:r>
        <w:t xml:space="preserve">Aquellos contribuyentes que desarrollen como </w:t>
      </w:r>
      <w:r w:rsidRPr="00432A19">
        <w:rPr>
          <w:u w:val="single"/>
        </w:rPr>
        <w:t>actividad principal la “V</w:t>
      </w:r>
      <w:r w:rsidR="00622C83" w:rsidRPr="00432A19">
        <w:rPr>
          <w:u w:val="single"/>
        </w:rPr>
        <w:t>enta al por mayor en supermercados mayoristas de alimentos</w:t>
      </w:r>
      <w:r w:rsidRPr="00432A19">
        <w:rPr>
          <w:u w:val="single"/>
        </w:rPr>
        <w:t>” y</w:t>
      </w:r>
      <w:r w:rsidR="00622C83" w:rsidRPr="00432A19">
        <w:rPr>
          <w:u w:val="single"/>
        </w:rPr>
        <w:t xml:space="preserve">/o </w:t>
      </w:r>
      <w:r w:rsidRPr="00432A19">
        <w:rPr>
          <w:u w:val="single"/>
        </w:rPr>
        <w:t>“V</w:t>
      </w:r>
      <w:r w:rsidR="00622C83" w:rsidRPr="00432A19">
        <w:rPr>
          <w:u w:val="single"/>
        </w:rPr>
        <w:t>enta al por mayor de materiales y productos de limpieza</w:t>
      </w:r>
      <w:r w:rsidRPr="00432A19">
        <w:rPr>
          <w:u w:val="single"/>
        </w:rPr>
        <w:t>”</w:t>
      </w:r>
      <w:r w:rsidR="00622C83">
        <w:t>, que registren en el último año</w:t>
      </w:r>
      <w:r w:rsidR="00F2794B">
        <w:t xml:space="preserve"> comercial cerrado operaciones por un monto mayor o igual  a </w:t>
      </w:r>
      <w:r>
        <w:t>$ 5</w:t>
      </w:r>
      <w:r w:rsidR="00F2794B">
        <w:t>0.000.000</w:t>
      </w:r>
      <w:r>
        <w:t>.- y opten por utilizar controladores fiscales para emitir los comprobantes que respalden las operaciones vinculadas a dichas actividades, a p</w:t>
      </w:r>
      <w:r w:rsidR="008E0771">
        <w:t>a</w:t>
      </w:r>
      <w:r>
        <w:t>rtir del 1 de septiembre de 2019 dicho equipamiento deberá ser de nueva tecnología.</w:t>
      </w:r>
    </w:p>
    <w:p w:rsidR="00432A19" w:rsidRDefault="00432A19" w:rsidP="00432A19">
      <w:pPr>
        <w:ind w:right="-568"/>
        <w:jc w:val="both"/>
      </w:pPr>
    </w:p>
    <w:p w:rsidR="00F2794B" w:rsidRDefault="00F2794B" w:rsidP="0023552A">
      <w:pPr>
        <w:ind w:left="709" w:right="-568" w:hanging="425"/>
        <w:jc w:val="both"/>
      </w:pPr>
    </w:p>
    <w:p w:rsidR="00F2794B" w:rsidRDefault="00EA5123" w:rsidP="00EA5123">
      <w:pPr>
        <w:pStyle w:val="Prrafodelista"/>
        <w:numPr>
          <w:ilvl w:val="0"/>
          <w:numId w:val="3"/>
        </w:numPr>
        <w:ind w:left="709" w:right="-568" w:hanging="425"/>
        <w:jc w:val="both"/>
      </w:pPr>
      <w:r>
        <w:t xml:space="preserve">Se modifica la periodicidad para cumplir con el </w:t>
      </w:r>
      <w:r w:rsidRPr="00EA5123">
        <w:rPr>
          <w:u w:val="single"/>
        </w:rPr>
        <w:t>Régimen de Información para aquellos sujetos que utilicen controladores fiscales de nueva tecnología</w:t>
      </w:r>
      <w:r>
        <w:t xml:space="preserve"> siendo la periodicidad para la generación y emisión de los reportes en forma mensual para los </w:t>
      </w:r>
      <w:proofErr w:type="spellStart"/>
      <w:r>
        <w:t>monotributistas</w:t>
      </w:r>
      <w:proofErr w:type="spellEnd"/>
      <w:r>
        <w:t xml:space="preserve"> y semanal para los responsables inscriptos y exentos en la valor agregado. </w:t>
      </w:r>
    </w:p>
    <w:p w:rsidR="00EA5123" w:rsidRDefault="00EA5123" w:rsidP="00EA5123">
      <w:pPr>
        <w:pStyle w:val="Prrafodelista"/>
        <w:ind w:left="709" w:right="-568"/>
        <w:jc w:val="both"/>
      </w:pPr>
      <w:r>
        <w:t>A su vez deberán generar semanal o, en su caso, mensualmente, el reporte “Cinta Testigo Digital”, que responde a los duplicados electrónicos de los comprobantes emitidos.</w:t>
      </w:r>
    </w:p>
    <w:p w:rsidR="00384821" w:rsidRDefault="00384821" w:rsidP="00EA5123">
      <w:pPr>
        <w:pStyle w:val="Prrafodelista"/>
        <w:ind w:left="709" w:right="-568"/>
        <w:jc w:val="both"/>
      </w:pPr>
    </w:p>
    <w:p w:rsidR="00BF05D6" w:rsidRDefault="00BF05D6" w:rsidP="00EA5123">
      <w:pPr>
        <w:pStyle w:val="Prrafodelista"/>
        <w:ind w:left="709" w:right="-568"/>
        <w:jc w:val="both"/>
      </w:pPr>
      <w:r>
        <w:t>A los fines de cumplir con las citadas obligaciones informativas, los responsables deberán ingresar en los plazos que se indican a continuación:</w:t>
      </w:r>
    </w:p>
    <w:p w:rsidR="00BF05D6" w:rsidRDefault="00BF05D6" w:rsidP="00EA5123">
      <w:pPr>
        <w:pStyle w:val="Prrafodelista"/>
        <w:ind w:left="709" w:right="-568"/>
        <w:jc w:val="both"/>
      </w:pPr>
    </w:p>
    <w:p w:rsidR="00BF05D6" w:rsidRDefault="00BF05D6" w:rsidP="00B7768C">
      <w:pPr>
        <w:pStyle w:val="Prrafodelista"/>
        <w:numPr>
          <w:ilvl w:val="0"/>
          <w:numId w:val="12"/>
        </w:numPr>
        <w:ind w:right="-568"/>
        <w:jc w:val="both"/>
      </w:pPr>
      <w:r>
        <w:t>Responsables Inscriptos y exentos en el valor agregado:</w:t>
      </w:r>
    </w:p>
    <w:p w:rsidR="00BF05D6" w:rsidRDefault="00B7768C" w:rsidP="00BF05D6">
      <w:pPr>
        <w:pStyle w:val="Prrafodelista"/>
        <w:numPr>
          <w:ilvl w:val="4"/>
          <w:numId w:val="11"/>
        </w:numPr>
        <w:ind w:right="-568"/>
        <w:jc w:val="both"/>
      </w:pPr>
      <w:r>
        <w:t xml:space="preserve">Primera semana: periodo comprendido entre los días 1 y 7, ambos inclusive, de cada mes: hasta el </w:t>
      </w:r>
      <w:r w:rsidR="00384821">
        <w:t>día</w:t>
      </w:r>
      <w:r>
        <w:t xml:space="preserve"> 12 del mismo mes.</w:t>
      </w:r>
    </w:p>
    <w:p w:rsidR="00B7768C" w:rsidRDefault="00B7768C" w:rsidP="00B7768C">
      <w:pPr>
        <w:pStyle w:val="Prrafodelista"/>
        <w:numPr>
          <w:ilvl w:val="4"/>
          <w:numId w:val="11"/>
        </w:numPr>
        <w:ind w:right="-568"/>
        <w:jc w:val="both"/>
      </w:pPr>
      <w:r>
        <w:t xml:space="preserve">Segunda semana: periodo comprendido entre los días 8 y 14, ambos inclusive, de cada mes: hasta el </w:t>
      </w:r>
      <w:r w:rsidR="00384821">
        <w:t>día</w:t>
      </w:r>
      <w:r>
        <w:t xml:space="preserve"> 19 del mismo mes.</w:t>
      </w:r>
    </w:p>
    <w:p w:rsidR="00B7768C" w:rsidRDefault="00B7768C" w:rsidP="00B7768C">
      <w:pPr>
        <w:pStyle w:val="Prrafodelista"/>
        <w:numPr>
          <w:ilvl w:val="4"/>
          <w:numId w:val="11"/>
        </w:numPr>
        <w:ind w:right="-568"/>
        <w:jc w:val="both"/>
      </w:pPr>
      <w:r>
        <w:t xml:space="preserve">Tercera semana: periodo comprendido entre los días 15 y 21, ambos inclusive, de cada mes: hasta el </w:t>
      </w:r>
      <w:r w:rsidR="00384821">
        <w:t>día</w:t>
      </w:r>
      <w:r>
        <w:t xml:space="preserve"> 26 del mismo mes.</w:t>
      </w:r>
    </w:p>
    <w:p w:rsidR="00B7768C" w:rsidRDefault="00B7768C" w:rsidP="00B7768C">
      <w:pPr>
        <w:pStyle w:val="Prrafodelista"/>
        <w:numPr>
          <w:ilvl w:val="4"/>
          <w:numId w:val="11"/>
        </w:numPr>
        <w:ind w:right="-568"/>
        <w:jc w:val="both"/>
      </w:pPr>
      <w:r>
        <w:t xml:space="preserve">Cuarta semana: periodo comprendido entre los días 22 y el ultimo </w:t>
      </w:r>
      <w:proofErr w:type="spellStart"/>
      <w:r>
        <w:t>dia</w:t>
      </w:r>
      <w:proofErr w:type="spellEnd"/>
      <w:r>
        <w:t xml:space="preserve"> del mes,  ambos inclusive: hasta el </w:t>
      </w:r>
      <w:r w:rsidR="00384821">
        <w:t>día</w:t>
      </w:r>
      <w:r>
        <w:t xml:space="preserve"> 5 del mes inmediato siguiente.</w:t>
      </w:r>
    </w:p>
    <w:p w:rsidR="00B7768C" w:rsidRDefault="00B7768C" w:rsidP="00B7768C">
      <w:pPr>
        <w:pStyle w:val="Prrafodelista"/>
        <w:ind w:left="1800" w:right="-568"/>
        <w:jc w:val="both"/>
      </w:pPr>
    </w:p>
    <w:p w:rsidR="00B7768C" w:rsidRDefault="00B7768C" w:rsidP="00B7768C">
      <w:pPr>
        <w:pStyle w:val="Prrafodelista"/>
        <w:numPr>
          <w:ilvl w:val="3"/>
          <w:numId w:val="11"/>
        </w:numPr>
        <w:ind w:right="-568"/>
        <w:jc w:val="both"/>
      </w:pPr>
      <w:r>
        <w:t xml:space="preserve">Sujetos </w:t>
      </w:r>
      <w:proofErr w:type="spellStart"/>
      <w:r>
        <w:t>monotributistas</w:t>
      </w:r>
      <w:proofErr w:type="spellEnd"/>
      <w:r>
        <w:t>:</w:t>
      </w:r>
    </w:p>
    <w:p w:rsidR="00B7768C" w:rsidRDefault="00B7768C" w:rsidP="00B7768C">
      <w:pPr>
        <w:pStyle w:val="Prrafodelista"/>
        <w:numPr>
          <w:ilvl w:val="4"/>
          <w:numId w:val="13"/>
        </w:numPr>
        <w:ind w:right="-568"/>
        <w:jc w:val="both"/>
      </w:pPr>
      <w:r>
        <w:t xml:space="preserve">Periodo mensual: hasta el </w:t>
      </w:r>
      <w:r w:rsidR="00384821">
        <w:t>día</w:t>
      </w:r>
      <w:r>
        <w:t xml:space="preserve"> 7 del mes inmediato siguiente.</w:t>
      </w:r>
    </w:p>
    <w:p w:rsidR="00B7768C" w:rsidRDefault="00B7768C" w:rsidP="00B7768C">
      <w:pPr>
        <w:pStyle w:val="Prrafodelista"/>
        <w:ind w:left="360" w:right="-568"/>
        <w:jc w:val="both"/>
      </w:pPr>
    </w:p>
    <w:p w:rsidR="007B0870" w:rsidRDefault="007B0870" w:rsidP="007B0870">
      <w:pPr>
        <w:ind w:left="284" w:right="-568"/>
        <w:jc w:val="both"/>
      </w:pPr>
    </w:p>
    <w:p w:rsidR="001A5493" w:rsidRDefault="008E2409" w:rsidP="0023552A">
      <w:pPr>
        <w:pStyle w:val="Prrafodelista"/>
        <w:numPr>
          <w:ilvl w:val="0"/>
          <w:numId w:val="3"/>
        </w:numPr>
        <w:ind w:left="709" w:right="-568" w:hanging="425"/>
        <w:jc w:val="both"/>
      </w:pPr>
      <w:r>
        <w:t xml:space="preserve">Se modifica el cronograma </w:t>
      </w:r>
      <w:r w:rsidR="00F2794B">
        <w:t xml:space="preserve">de fechas de aquellas operaciones cuya </w:t>
      </w:r>
      <w:r w:rsidR="00F2794B" w:rsidRPr="008E2409">
        <w:rPr>
          <w:u w:val="single"/>
        </w:rPr>
        <w:t>facturación se deba efectuar en el momento de la entrega del bien o prestación del servicio en el domicilio del cliente o fuera del domicilio del emisor del comprobante</w:t>
      </w:r>
      <w:r w:rsidR="00F2794B">
        <w:t>:</w:t>
      </w:r>
    </w:p>
    <w:p w:rsidR="001A5493" w:rsidRDefault="001A5493" w:rsidP="0023552A">
      <w:pPr>
        <w:pStyle w:val="Prrafodelista"/>
        <w:ind w:left="709" w:right="-568" w:hanging="425"/>
        <w:jc w:val="both"/>
      </w:pPr>
    </w:p>
    <w:tbl>
      <w:tblPr>
        <w:tblpPr w:leftFromText="141" w:rightFromText="141" w:vertAnchor="page" w:horzAnchor="page" w:tblpX="1831" w:tblpY="11851"/>
        <w:tblW w:w="9004"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3179"/>
        <w:gridCol w:w="2939"/>
        <w:gridCol w:w="2886"/>
      </w:tblGrid>
      <w:tr w:rsidR="00B7768C" w:rsidRPr="00F2794B" w:rsidTr="00384821">
        <w:trPr>
          <w:trHeight w:val="155"/>
        </w:trPr>
        <w:tc>
          <w:tcPr>
            <w:tcW w:w="3179" w:type="dxa"/>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7768C" w:rsidRDefault="00B7768C" w:rsidP="00384821">
            <w:pPr>
              <w:ind w:right="-568"/>
              <w:rPr>
                <w:b/>
                <w:bCs/>
                <w:lang w:val="es-ES"/>
              </w:rPr>
            </w:pPr>
            <w:r w:rsidRPr="008E2409">
              <w:rPr>
                <w:b/>
                <w:bCs/>
                <w:lang w:val="es-ES"/>
              </w:rPr>
              <w:t xml:space="preserve">Opción de emisión de </w:t>
            </w:r>
          </w:p>
          <w:p w:rsidR="00B7768C" w:rsidRPr="008E2409" w:rsidRDefault="00B7768C" w:rsidP="00384821">
            <w:pPr>
              <w:ind w:right="-568"/>
              <w:rPr>
                <w:lang w:val="es-ES"/>
              </w:rPr>
            </w:pPr>
            <w:r w:rsidRPr="008E2409">
              <w:rPr>
                <w:b/>
                <w:bCs/>
                <w:lang w:val="es-ES"/>
              </w:rPr>
              <w:t>comprobantes electrónicos</w:t>
            </w:r>
          </w:p>
        </w:tc>
        <w:tc>
          <w:tcPr>
            <w:tcW w:w="2939" w:type="dxa"/>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7768C" w:rsidRDefault="00B7768C" w:rsidP="00384821">
            <w:pPr>
              <w:ind w:right="-568"/>
              <w:jc w:val="both"/>
              <w:rPr>
                <w:b/>
                <w:bCs/>
                <w:lang w:val="es-ES"/>
              </w:rPr>
            </w:pPr>
            <w:r w:rsidRPr="008E2409">
              <w:rPr>
                <w:b/>
                <w:bCs/>
                <w:lang w:val="es-ES"/>
              </w:rPr>
              <w:t xml:space="preserve">Opción de utilización de </w:t>
            </w:r>
          </w:p>
          <w:p w:rsidR="00B7768C" w:rsidRPr="008E2409" w:rsidRDefault="00B7768C" w:rsidP="00384821">
            <w:pPr>
              <w:ind w:right="-568"/>
              <w:jc w:val="both"/>
              <w:rPr>
                <w:lang w:val="es-ES"/>
              </w:rPr>
            </w:pPr>
            <w:r w:rsidRPr="008E2409">
              <w:rPr>
                <w:b/>
                <w:bCs/>
                <w:lang w:val="es-ES"/>
              </w:rPr>
              <w:t xml:space="preserve">Controlador Fiscal </w:t>
            </w:r>
          </w:p>
        </w:tc>
        <w:tc>
          <w:tcPr>
            <w:tcW w:w="2886" w:type="dxa"/>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B7768C" w:rsidRDefault="00B7768C" w:rsidP="00384821">
            <w:pPr>
              <w:ind w:right="-568"/>
              <w:rPr>
                <w:b/>
                <w:bCs/>
                <w:lang w:val="es-ES"/>
              </w:rPr>
            </w:pPr>
            <w:r w:rsidRPr="008E2409">
              <w:rPr>
                <w:b/>
                <w:bCs/>
                <w:lang w:val="es-ES"/>
              </w:rPr>
              <w:t xml:space="preserve">Por los comprobantes que </w:t>
            </w:r>
          </w:p>
          <w:p w:rsidR="00B7768C" w:rsidRPr="008E2409" w:rsidRDefault="00B7768C" w:rsidP="00384821">
            <w:pPr>
              <w:ind w:right="-568"/>
              <w:rPr>
                <w:lang w:val="es-ES"/>
              </w:rPr>
            </w:pPr>
            <w:r>
              <w:rPr>
                <w:b/>
                <w:bCs/>
                <w:lang w:val="es-ES"/>
              </w:rPr>
              <w:t xml:space="preserve">     se emitan a partir del</w:t>
            </w:r>
          </w:p>
        </w:tc>
      </w:tr>
      <w:tr w:rsidR="00B7768C" w:rsidRPr="00F2794B" w:rsidTr="00384821">
        <w:trPr>
          <w:trHeight w:val="15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7768C" w:rsidRDefault="00B7768C" w:rsidP="00384821">
            <w:pPr>
              <w:ind w:right="-568"/>
              <w:jc w:val="both"/>
              <w:rPr>
                <w:lang w:val="es-ES"/>
              </w:rPr>
            </w:pPr>
            <w:r w:rsidRPr="008E2409">
              <w:rPr>
                <w:lang w:val="es-ES"/>
              </w:rPr>
              <w:t xml:space="preserve">Comprobantes en Línea / </w:t>
            </w:r>
          </w:p>
          <w:p w:rsidR="00B7768C" w:rsidRPr="008E2409" w:rsidRDefault="00B7768C" w:rsidP="00384821">
            <w:pPr>
              <w:ind w:right="-568"/>
              <w:jc w:val="both"/>
              <w:rPr>
                <w:lang w:val="es-ES"/>
              </w:rPr>
            </w:pPr>
            <w:r>
              <w:rPr>
                <w:lang w:val="es-ES"/>
              </w:rPr>
              <w:t>Facturador Móvil</w:t>
            </w:r>
          </w:p>
        </w:tc>
        <w:tc>
          <w:tcPr>
            <w:tcW w:w="29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7768C" w:rsidRPr="00F2794B" w:rsidRDefault="00B7768C" w:rsidP="00384821">
            <w:pPr>
              <w:pStyle w:val="Prrafodelista"/>
              <w:ind w:left="709" w:right="-568" w:hanging="425"/>
              <w:jc w:val="both"/>
              <w:rPr>
                <w:lang w:val="es-ES"/>
              </w:rPr>
            </w:pPr>
            <w:r w:rsidRPr="00F2794B">
              <w:rPr>
                <w:lang w:val="es-ES"/>
              </w:rPr>
              <w:t>-</w:t>
            </w:r>
          </w:p>
        </w:tc>
        <w:tc>
          <w:tcPr>
            <w:tcW w:w="28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7768C" w:rsidRPr="00F2794B" w:rsidRDefault="00B7768C" w:rsidP="00384821">
            <w:pPr>
              <w:pStyle w:val="Prrafodelista"/>
              <w:ind w:left="709" w:right="-568" w:hanging="425"/>
              <w:rPr>
                <w:lang w:val="es-ES"/>
              </w:rPr>
            </w:pPr>
            <w:r w:rsidRPr="00F2794B">
              <w:rPr>
                <w:lang w:val="es-ES"/>
              </w:rPr>
              <w:t>1 de abril de 2019</w:t>
            </w:r>
          </w:p>
        </w:tc>
      </w:tr>
      <w:tr w:rsidR="00B7768C" w:rsidRPr="00F2794B" w:rsidTr="00384821">
        <w:trPr>
          <w:trHeight w:val="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7768C" w:rsidRPr="008E2409" w:rsidRDefault="00B7768C" w:rsidP="00384821">
            <w:pPr>
              <w:ind w:right="-568"/>
              <w:jc w:val="both"/>
              <w:rPr>
                <w:lang w:val="es-ES"/>
              </w:rPr>
            </w:pPr>
            <w:proofErr w:type="spellStart"/>
            <w:r w:rsidRPr="008E2409">
              <w:rPr>
                <w:lang w:val="es-ES"/>
              </w:rPr>
              <w:t>Webservices</w:t>
            </w:r>
            <w:proofErr w:type="spellEnd"/>
          </w:p>
        </w:tc>
        <w:tc>
          <w:tcPr>
            <w:tcW w:w="29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7768C" w:rsidRPr="00F2794B" w:rsidRDefault="00B7768C" w:rsidP="00384821">
            <w:pPr>
              <w:pStyle w:val="Prrafodelista"/>
              <w:ind w:left="709" w:right="-568" w:hanging="425"/>
              <w:jc w:val="both"/>
              <w:rPr>
                <w:lang w:val="es-ES"/>
              </w:rPr>
            </w:pPr>
            <w:r w:rsidRPr="00F2794B">
              <w:rPr>
                <w:lang w:val="es-ES"/>
              </w:rPr>
              <w:t>-</w:t>
            </w:r>
          </w:p>
        </w:tc>
        <w:tc>
          <w:tcPr>
            <w:tcW w:w="28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7768C" w:rsidRPr="00F2794B" w:rsidRDefault="00B7768C" w:rsidP="00384821">
            <w:pPr>
              <w:pStyle w:val="Prrafodelista"/>
              <w:ind w:left="709" w:right="-568" w:hanging="425"/>
              <w:rPr>
                <w:lang w:val="es-ES"/>
              </w:rPr>
            </w:pPr>
            <w:r w:rsidRPr="00F2794B">
              <w:rPr>
                <w:lang w:val="es-ES"/>
              </w:rPr>
              <w:t>1 de setiembre de 2019</w:t>
            </w:r>
          </w:p>
        </w:tc>
      </w:tr>
      <w:tr w:rsidR="00B7768C" w:rsidRPr="00F2794B" w:rsidTr="00384821">
        <w:trPr>
          <w:trHeight w:val="20"/>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7768C" w:rsidRPr="00F2794B" w:rsidRDefault="00B7768C" w:rsidP="00384821">
            <w:pPr>
              <w:pStyle w:val="Prrafodelista"/>
              <w:ind w:left="709" w:right="-568" w:hanging="425"/>
              <w:jc w:val="both"/>
              <w:rPr>
                <w:lang w:val="es-ES"/>
              </w:rPr>
            </w:pPr>
            <w:r w:rsidRPr="00F2794B">
              <w:rPr>
                <w:lang w:val="es-ES"/>
              </w:rPr>
              <w:t>-</w:t>
            </w:r>
          </w:p>
        </w:tc>
        <w:tc>
          <w:tcPr>
            <w:tcW w:w="29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7768C" w:rsidRPr="00F2794B" w:rsidRDefault="00B7768C" w:rsidP="00384821">
            <w:pPr>
              <w:pStyle w:val="Prrafodelista"/>
              <w:ind w:left="709" w:right="-568" w:hanging="425"/>
              <w:jc w:val="both"/>
              <w:rPr>
                <w:lang w:val="es-ES"/>
              </w:rPr>
            </w:pPr>
            <w:r w:rsidRPr="00F2794B">
              <w:rPr>
                <w:lang w:val="es-ES"/>
              </w:rPr>
              <w:t>Controlador fiscal</w:t>
            </w:r>
          </w:p>
        </w:tc>
        <w:tc>
          <w:tcPr>
            <w:tcW w:w="28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7768C" w:rsidRPr="00F2794B" w:rsidRDefault="00B7768C" w:rsidP="00384821">
            <w:pPr>
              <w:pStyle w:val="Prrafodelista"/>
              <w:ind w:left="709" w:right="-568" w:hanging="425"/>
              <w:rPr>
                <w:lang w:val="es-ES"/>
              </w:rPr>
            </w:pPr>
            <w:r w:rsidRPr="00F2794B">
              <w:rPr>
                <w:lang w:val="es-ES"/>
              </w:rPr>
              <w:t>1 de setiembre de 2019</w:t>
            </w:r>
          </w:p>
        </w:tc>
      </w:tr>
    </w:tbl>
    <w:p w:rsidR="008E2409" w:rsidRDefault="008E2409" w:rsidP="0023552A">
      <w:pPr>
        <w:pStyle w:val="Prrafodelista"/>
        <w:ind w:left="709" w:right="-568" w:hanging="425"/>
        <w:jc w:val="both"/>
      </w:pPr>
    </w:p>
    <w:p w:rsidR="008E2409" w:rsidRDefault="008E2409" w:rsidP="0023552A">
      <w:pPr>
        <w:pStyle w:val="Prrafodelista"/>
        <w:ind w:left="709" w:right="-568" w:hanging="425"/>
        <w:jc w:val="both"/>
      </w:pPr>
    </w:p>
    <w:p w:rsidR="008E2409" w:rsidRDefault="008E2409" w:rsidP="0023552A">
      <w:pPr>
        <w:pStyle w:val="Prrafodelista"/>
        <w:ind w:left="709" w:right="-568" w:hanging="425"/>
        <w:jc w:val="both"/>
      </w:pPr>
    </w:p>
    <w:p w:rsidR="008E2409" w:rsidRDefault="008E2409" w:rsidP="0023552A">
      <w:pPr>
        <w:pStyle w:val="Prrafodelista"/>
        <w:ind w:left="709" w:right="-568" w:hanging="425"/>
        <w:jc w:val="both"/>
      </w:pPr>
    </w:p>
    <w:p w:rsidR="00B7768C" w:rsidRDefault="00B7768C" w:rsidP="0023552A">
      <w:pPr>
        <w:pStyle w:val="Prrafodelista"/>
        <w:ind w:left="709" w:right="-568" w:hanging="425"/>
        <w:jc w:val="both"/>
      </w:pPr>
      <w:bookmarkStart w:id="0" w:name="_GoBack"/>
      <w:bookmarkEnd w:id="0"/>
    </w:p>
    <w:p w:rsidR="00B7768C" w:rsidRDefault="00B7768C" w:rsidP="00B7768C">
      <w:pPr>
        <w:pStyle w:val="Prrafodelista"/>
        <w:numPr>
          <w:ilvl w:val="0"/>
          <w:numId w:val="1"/>
        </w:numPr>
        <w:ind w:left="709" w:right="-568" w:hanging="425"/>
        <w:jc w:val="both"/>
      </w:pPr>
      <w:r>
        <w:t xml:space="preserve">De tratarse de </w:t>
      </w:r>
      <w:r w:rsidRPr="005570A1">
        <w:rPr>
          <w:u w:val="single"/>
        </w:rPr>
        <w:t>comprobantes  clase “A”</w:t>
      </w:r>
      <w:r>
        <w:t xml:space="preserve">, cuando se detecten durante el proceso de autorización </w:t>
      </w:r>
      <w:r w:rsidRPr="005570A1">
        <w:rPr>
          <w:u w:val="single"/>
        </w:rPr>
        <w:t>inconsistencias en los datos del receptor</w:t>
      </w:r>
      <w:r>
        <w:t xml:space="preserve"> (como por ejemplo, CUIT invalida,  no encontrarse categorizado como RI en IVA), se autorizará el comprobante electrónico asignándole un Código de Autorización Electrónica “CAE” junto con los códigos representativos de las irregularidades observadas. El impuesto discriminado en tales comprobantes </w:t>
      </w:r>
      <w:r w:rsidRPr="005570A1">
        <w:rPr>
          <w:u w:val="single"/>
        </w:rPr>
        <w:t>no podrá computarse como crédito fiscal del impuesto al valor agregado</w:t>
      </w:r>
      <w:r>
        <w:t>.</w:t>
      </w:r>
    </w:p>
    <w:p w:rsidR="007B0870" w:rsidRDefault="007B0870" w:rsidP="0023552A">
      <w:pPr>
        <w:pStyle w:val="Prrafodelista"/>
        <w:ind w:left="709" w:right="-568" w:hanging="425"/>
        <w:jc w:val="both"/>
      </w:pPr>
    </w:p>
    <w:p w:rsidR="007B0870" w:rsidRDefault="007B0870" w:rsidP="0023552A">
      <w:pPr>
        <w:pStyle w:val="Prrafodelista"/>
        <w:ind w:left="709" w:right="-568" w:hanging="425"/>
        <w:jc w:val="both"/>
      </w:pPr>
    </w:p>
    <w:p w:rsidR="008E0771" w:rsidRDefault="008E0771" w:rsidP="0023552A">
      <w:pPr>
        <w:pStyle w:val="Prrafodelista"/>
        <w:ind w:left="0" w:right="-568"/>
        <w:jc w:val="both"/>
      </w:pPr>
    </w:p>
    <w:p w:rsidR="005A3F86" w:rsidRDefault="005A3F86" w:rsidP="0023552A">
      <w:pPr>
        <w:pStyle w:val="Prrafodelista"/>
        <w:ind w:left="0" w:right="-568"/>
        <w:jc w:val="both"/>
      </w:pPr>
    </w:p>
    <w:p w:rsidR="001B7759" w:rsidRPr="00E358BE" w:rsidRDefault="001B7759" w:rsidP="0023552A">
      <w:pPr>
        <w:pStyle w:val="Prrafodelista"/>
        <w:ind w:left="0" w:right="-568"/>
        <w:jc w:val="both"/>
        <w:rPr>
          <w:b/>
          <w:u w:val="single"/>
        </w:rPr>
      </w:pPr>
      <w:r w:rsidRPr="00E358BE">
        <w:rPr>
          <w:b/>
          <w:u w:val="single"/>
        </w:rPr>
        <w:t>Vigencia</w:t>
      </w:r>
    </w:p>
    <w:p w:rsidR="001B7759" w:rsidRDefault="001B7759" w:rsidP="0023552A">
      <w:pPr>
        <w:ind w:right="-568"/>
        <w:jc w:val="both"/>
        <w:rPr>
          <w:b/>
          <w:u w:val="single"/>
        </w:rPr>
      </w:pPr>
    </w:p>
    <w:p w:rsidR="001B7759" w:rsidRDefault="001B7759" w:rsidP="0023552A">
      <w:pPr>
        <w:ind w:right="-568"/>
        <w:jc w:val="both"/>
      </w:pPr>
      <w:r>
        <w:t>Las disposiciones de la presente serán de aplicación a part</w:t>
      </w:r>
      <w:r w:rsidR="006E52CC">
        <w:t>ir del día 28 de Marzo del 2019, e</w:t>
      </w:r>
      <w:r>
        <w:t xml:space="preserve">xcepto </w:t>
      </w:r>
      <w:r w:rsidR="006E52CC">
        <w:t>en lo que respecta a la obligación de identificación del comprador po</w:t>
      </w:r>
      <w:r>
        <w:t xml:space="preserve">r </w:t>
      </w:r>
      <w:r w:rsidR="006E52CC">
        <w:t xml:space="preserve">operaciones con </w:t>
      </w:r>
      <w:r>
        <w:t>consumidor</w:t>
      </w:r>
      <w:r w:rsidR="006E52CC">
        <w:t>es</w:t>
      </w:r>
      <w:r>
        <w:t xml:space="preserve"> final</w:t>
      </w:r>
      <w:r w:rsidR="006E52CC">
        <w:t>es que será de</w:t>
      </w:r>
      <w:r>
        <w:t xml:space="preserve"> aplicación desde el 02 de Mayo del 2019.-</w:t>
      </w:r>
    </w:p>
    <w:p w:rsidR="00FA7C51" w:rsidRDefault="00FA7C51" w:rsidP="0023552A">
      <w:pPr>
        <w:ind w:right="-568"/>
        <w:jc w:val="both"/>
      </w:pPr>
    </w:p>
    <w:p w:rsidR="008E0771" w:rsidRDefault="008E0771" w:rsidP="0023552A">
      <w:pPr>
        <w:ind w:right="-568"/>
        <w:jc w:val="both"/>
      </w:pPr>
    </w:p>
    <w:p w:rsidR="008E0771" w:rsidRDefault="008E0771" w:rsidP="0023552A">
      <w:pPr>
        <w:ind w:right="-568"/>
        <w:jc w:val="both"/>
      </w:pPr>
    </w:p>
    <w:p w:rsidR="007A6498" w:rsidRDefault="007A6498" w:rsidP="0023552A">
      <w:pPr>
        <w:ind w:right="-568"/>
        <w:jc w:val="both"/>
      </w:pPr>
    </w:p>
    <w:p w:rsidR="008E0771" w:rsidRDefault="008E0771" w:rsidP="0023552A">
      <w:pPr>
        <w:ind w:right="-568"/>
        <w:jc w:val="both"/>
      </w:pPr>
    </w:p>
    <w:p w:rsidR="008E0771" w:rsidRDefault="008E0771" w:rsidP="0023552A">
      <w:pPr>
        <w:ind w:right="-568"/>
        <w:jc w:val="both"/>
      </w:pPr>
    </w:p>
    <w:p w:rsidR="008E0771" w:rsidRDefault="008E0771" w:rsidP="0023552A">
      <w:pPr>
        <w:ind w:right="-568"/>
        <w:jc w:val="both"/>
      </w:pPr>
      <w:r>
        <w:t>Buenos Aires, 01 de Abril de 2019.</w:t>
      </w:r>
    </w:p>
    <w:sectPr w:rsidR="008E0771" w:rsidSect="0023552A">
      <w:pgSz w:w="11906" w:h="16838"/>
      <w:pgMar w:top="1417" w:right="1701" w:bottom="141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F2BAD"/>
    <w:multiLevelType w:val="hybridMultilevel"/>
    <w:tmpl w:val="18DAA1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AAB49B6"/>
    <w:multiLevelType w:val="hybridMultilevel"/>
    <w:tmpl w:val="010CA6D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1CA35C5C"/>
    <w:multiLevelType w:val="hybridMultilevel"/>
    <w:tmpl w:val="0AEEBB28"/>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3">
    <w:nsid w:val="1CF939D5"/>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DA50ADC"/>
    <w:multiLevelType w:val="hybridMultilevel"/>
    <w:tmpl w:val="8A1E3F18"/>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
    <w:nsid w:val="2300780C"/>
    <w:multiLevelType w:val="hybridMultilevel"/>
    <w:tmpl w:val="72606CFC"/>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
    <w:nsid w:val="26066048"/>
    <w:multiLevelType w:val="hybridMultilevel"/>
    <w:tmpl w:val="050267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59B5237"/>
    <w:multiLevelType w:val="multilevel"/>
    <w:tmpl w:val="ABC88F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A996141"/>
    <w:multiLevelType w:val="hybridMultilevel"/>
    <w:tmpl w:val="9DD45A24"/>
    <w:lvl w:ilvl="0" w:tplc="2C0A000F">
      <w:start w:val="1"/>
      <w:numFmt w:val="decimal"/>
      <w:lvlText w:val="%1."/>
      <w:lvlJc w:val="left"/>
      <w:pPr>
        <w:ind w:left="1429" w:hanging="360"/>
      </w:p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9">
    <w:nsid w:val="649865CA"/>
    <w:multiLevelType w:val="hybridMultilevel"/>
    <w:tmpl w:val="51B4F89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ADD779F"/>
    <w:multiLevelType w:val="hybridMultilevel"/>
    <w:tmpl w:val="FA8674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CDA444C"/>
    <w:multiLevelType w:val="hybridMultilevel"/>
    <w:tmpl w:val="94421D94"/>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2">
    <w:nsid w:val="77C05DEF"/>
    <w:multiLevelType w:val="hybridMultilevel"/>
    <w:tmpl w:val="B1DE28C8"/>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10"/>
  </w:num>
  <w:num w:numId="4">
    <w:abstractNumId w:val="2"/>
  </w:num>
  <w:num w:numId="5">
    <w:abstractNumId w:val="6"/>
  </w:num>
  <w:num w:numId="6">
    <w:abstractNumId w:val="9"/>
  </w:num>
  <w:num w:numId="7">
    <w:abstractNumId w:val="5"/>
  </w:num>
  <w:num w:numId="8">
    <w:abstractNumId w:val="12"/>
  </w:num>
  <w:num w:numId="9">
    <w:abstractNumId w:val="11"/>
  </w:num>
  <w:num w:numId="10">
    <w:abstractNumId w:val="8"/>
  </w:num>
  <w:num w:numId="11">
    <w:abstractNumId w:val="7"/>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7C51"/>
    <w:rsid w:val="001A5493"/>
    <w:rsid w:val="001B7759"/>
    <w:rsid w:val="0023552A"/>
    <w:rsid w:val="00384821"/>
    <w:rsid w:val="003B290E"/>
    <w:rsid w:val="003B7AFA"/>
    <w:rsid w:val="00432A19"/>
    <w:rsid w:val="005570A1"/>
    <w:rsid w:val="00581F00"/>
    <w:rsid w:val="005A3F86"/>
    <w:rsid w:val="00622C83"/>
    <w:rsid w:val="006E52CC"/>
    <w:rsid w:val="00787AA6"/>
    <w:rsid w:val="007A6498"/>
    <w:rsid w:val="007B0870"/>
    <w:rsid w:val="00855A59"/>
    <w:rsid w:val="008B400B"/>
    <w:rsid w:val="008E0771"/>
    <w:rsid w:val="008E2409"/>
    <w:rsid w:val="009429D0"/>
    <w:rsid w:val="00B7768C"/>
    <w:rsid w:val="00BF05D6"/>
    <w:rsid w:val="00C57BB8"/>
    <w:rsid w:val="00DF7C22"/>
    <w:rsid w:val="00EA5123"/>
    <w:rsid w:val="00F2794B"/>
    <w:rsid w:val="00FA7C5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C51"/>
    <w:pPr>
      <w:spacing w:after="0" w:line="240" w:lineRule="auto"/>
    </w:pPr>
    <w:rPr>
      <w:rFonts w:ascii="Times New Roman" w:eastAsia="Times New Roman" w:hAnsi="Times New Roman" w:cs="Times New Roman"/>
      <w:sz w:val="24"/>
      <w:szCs w:val="20"/>
      <w:lang w:val="es-ES_tradnl" w:eastAsia="es-ES"/>
    </w:rPr>
  </w:style>
  <w:style w:type="paragraph" w:styleId="Ttulo5">
    <w:name w:val="heading 5"/>
    <w:basedOn w:val="Normal"/>
    <w:next w:val="Normal"/>
    <w:link w:val="Ttulo5Car"/>
    <w:semiHidden/>
    <w:unhideWhenUsed/>
    <w:qFormat/>
    <w:rsid w:val="00FA7C51"/>
    <w:pPr>
      <w:keepNext/>
      <w:jc w:val="center"/>
      <w:outlineLvl w:val="4"/>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FA7C51"/>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FA7C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058624">
      <w:bodyDiv w:val="1"/>
      <w:marLeft w:val="0"/>
      <w:marRight w:val="0"/>
      <w:marTop w:val="0"/>
      <w:marBottom w:val="0"/>
      <w:divBdr>
        <w:top w:val="none" w:sz="0" w:space="0" w:color="auto"/>
        <w:left w:val="none" w:sz="0" w:space="0" w:color="auto"/>
        <w:bottom w:val="none" w:sz="0" w:space="0" w:color="auto"/>
        <w:right w:val="none" w:sz="0" w:space="0" w:color="auto"/>
      </w:divBdr>
    </w:div>
    <w:div w:id="873881184">
      <w:bodyDiv w:val="1"/>
      <w:marLeft w:val="0"/>
      <w:marRight w:val="0"/>
      <w:marTop w:val="0"/>
      <w:marBottom w:val="0"/>
      <w:divBdr>
        <w:top w:val="none" w:sz="0" w:space="0" w:color="auto"/>
        <w:left w:val="none" w:sz="0" w:space="0" w:color="auto"/>
        <w:bottom w:val="none" w:sz="0" w:space="0" w:color="auto"/>
        <w:right w:val="none" w:sz="0" w:space="0" w:color="auto"/>
      </w:divBdr>
    </w:div>
    <w:div w:id="1284382945">
      <w:bodyDiv w:val="1"/>
      <w:marLeft w:val="0"/>
      <w:marRight w:val="0"/>
      <w:marTop w:val="0"/>
      <w:marBottom w:val="0"/>
      <w:divBdr>
        <w:top w:val="none" w:sz="0" w:space="0" w:color="auto"/>
        <w:left w:val="none" w:sz="0" w:space="0" w:color="auto"/>
        <w:bottom w:val="none" w:sz="0" w:space="0" w:color="auto"/>
        <w:right w:val="none" w:sz="0" w:space="0" w:color="auto"/>
      </w:divBdr>
    </w:div>
    <w:div w:id="191091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42D873-0CF0-4354-93BC-59C8C170E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807</Words>
  <Characters>4442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Carola Banchi</dc:creator>
  <cp:lastModifiedBy>Paola Fontao</cp:lastModifiedBy>
  <cp:revision>12</cp:revision>
  <dcterms:created xsi:type="dcterms:W3CDTF">2019-03-29T17:30:00Z</dcterms:created>
  <dcterms:modified xsi:type="dcterms:W3CDTF">2019-04-01T11:25:00Z</dcterms:modified>
</cp:coreProperties>
</file>