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2B" w:rsidRDefault="00D3742B" w:rsidP="00D3742B">
      <w:pPr>
        <w:ind w:right="1043"/>
        <w:rPr>
          <w:b/>
          <w:u w:val="single"/>
        </w:rPr>
      </w:pPr>
      <w:r>
        <w:rPr>
          <w:b/>
          <w:sz w:val="28"/>
          <w:u w:val="single"/>
        </w:rPr>
        <w:t>CIRCULAR IMPOSITIVA NRO.</w:t>
      </w:r>
      <w:r w:rsidR="00D15A16">
        <w:rPr>
          <w:b/>
          <w:sz w:val="28"/>
          <w:u w:val="single"/>
        </w:rPr>
        <w:t xml:space="preserve"> 93</w:t>
      </w:r>
      <w:r w:rsidR="00545CFB">
        <w:rPr>
          <w:b/>
          <w:sz w:val="28"/>
          <w:u w:val="single"/>
        </w:rPr>
        <w:t>2</w:t>
      </w:r>
    </w:p>
    <w:p w:rsidR="00D3742B" w:rsidRDefault="00D3742B" w:rsidP="00D3742B">
      <w:pPr>
        <w:pStyle w:val="Ttulo5"/>
        <w:jc w:val="left"/>
        <w:rPr>
          <w:i/>
        </w:rPr>
      </w:pPr>
    </w:p>
    <w:p w:rsidR="00D3742B" w:rsidRDefault="00D3742B" w:rsidP="00D3742B"/>
    <w:p w:rsidR="00D3742B" w:rsidRDefault="00D3742B" w:rsidP="00D3742B">
      <w:pPr>
        <w:pStyle w:val="Ttulo5"/>
        <w:jc w:val="left"/>
        <w:rPr>
          <w:i/>
          <w:lang w:val="es-ES_tradnl"/>
        </w:rPr>
      </w:pPr>
      <w:r>
        <w:rPr>
          <w:i/>
          <w:lang w:val="es-ES_tradnl"/>
        </w:rPr>
        <w:t>Resolución General N° 4268 AFIP</w:t>
      </w:r>
    </w:p>
    <w:p w:rsidR="00D3742B" w:rsidRDefault="00D3742B" w:rsidP="00D3742B">
      <w:pPr>
        <w:pStyle w:val="Ttulo5"/>
        <w:jc w:val="left"/>
        <w:rPr>
          <w:i/>
          <w:lang w:val="es-ES_tradnl"/>
        </w:rPr>
      </w:pPr>
      <w:r>
        <w:rPr>
          <w:i/>
          <w:lang w:val="es-ES_tradnl"/>
        </w:rPr>
        <w:t xml:space="preserve">Fecha de Norma: 29/06/2018  </w:t>
      </w:r>
    </w:p>
    <w:p w:rsidR="00D3742B" w:rsidRDefault="00D3742B" w:rsidP="00D3742B">
      <w:pPr>
        <w:pStyle w:val="Ttulo5"/>
        <w:jc w:val="left"/>
        <w:rPr>
          <w:i/>
          <w:lang w:val="es-ES_tradnl"/>
        </w:rPr>
      </w:pPr>
      <w:r>
        <w:rPr>
          <w:i/>
          <w:lang w:val="es-ES_tradnl"/>
        </w:rPr>
        <w:t xml:space="preserve">Boletín Oficial 02/07/2018 </w:t>
      </w:r>
    </w:p>
    <w:p w:rsidR="00D3742B" w:rsidRDefault="00D3742B" w:rsidP="00D3742B"/>
    <w:p w:rsidR="00D3742B" w:rsidRDefault="00D3742B" w:rsidP="00D3742B">
      <w:pPr>
        <w:ind w:right="50"/>
        <w:jc w:val="both"/>
        <w:rPr>
          <w:b/>
          <w:i/>
        </w:rPr>
      </w:pPr>
    </w:p>
    <w:p w:rsidR="005C6853" w:rsidRDefault="005C6853" w:rsidP="00D3742B">
      <w:pPr>
        <w:ind w:right="50"/>
        <w:jc w:val="both"/>
        <w:rPr>
          <w:b/>
          <w:i/>
        </w:rPr>
      </w:pPr>
    </w:p>
    <w:p w:rsidR="00BC3ADD" w:rsidRDefault="007370D6" w:rsidP="009C7FA4">
      <w:pPr>
        <w:ind w:right="-568"/>
        <w:jc w:val="both"/>
        <w:rPr>
          <w:b/>
          <w:i/>
          <w:u w:val="single"/>
        </w:rPr>
      </w:pPr>
      <w:r w:rsidRPr="007370D6">
        <w:rPr>
          <w:b/>
          <w:u w:val="single"/>
        </w:rPr>
        <w:t>Plan de facilidades de pago permanente.</w:t>
      </w:r>
      <w:r w:rsidR="002D6928">
        <w:rPr>
          <w:b/>
          <w:u w:val="single"/>
        </w:rPr>
        <w:t xml:space="preserve"> Adecuaciones. </w:t>
      </w:r>
      <w:r w:rsidRPr="007370D6">
        <w:rPr>
          <w:b/>
          <w:u w:val="single"/>
        </w:rPr>
        <w:t>N</w:t>
      </w:r>
      <w:r w:rsidR="00D3742B" w:rsidRPr="007370D6">
        <w:rPr>
          <w:b/>
          <w:u w:val="single"/>
        </w:rPr>
        <w:t xml:space="preserve">uevos requisitos </w:t>
      </w:r>
      <w:r w:rsidR="009C7FA4">
        <w:rPr>
          <w:b/>
          <w:u w:val="single"/>
        </w:rPr>
        <w:t xml:space="preserve">y condiciones, con </w:t>
      </w:r>
      <w:r w:rsidR="00D3742B" w:rsidRPr="007370D6">
        <w:rPr>
          <w:b/>
          <w:u w:val="single"/>
        </w:rPr>
        <w:t>mayor</w:t>
      </w:r>
      <w:r w:rsidR="002D6928">
        <w:rPr>
          <w:b/>
          <w:u w:val="single"/>
        </w:rPr>
        <w:t>es</w:t>
      </w:r>
      <w:r w:rsidR="00D3742B" w:rsidRPr="007370D6">
        <w:rPr>
          <w:b/>
          <w:u w:val="single"/>
        </w:rPr>
        <w:t xml:space="preserve"> beneficio</w:t>
      </w:r>
      <w:r w:rsidR="002D6928">
        <w:rPr>
          <w:b/>
          <w:u w:val="single"/>
        </w:rPr>
        <w:t>s</w:t>
      </w:r>
      <w:r w:rsidR="00D3742B" w:rsidRPr="007370D6">
        <w:rPr>
          <w:b/>
          <w:u w:val="single"/>
        </w:rPr>
        <w:t xml:space="preserve"> para las PYMES </w:t>
      </w:r>
      <w:r w:rsidR="009C7FA4">
        <w:rPr>
          <w:b/>
          <w:u w:val="single"/>
        </w:rPr>
        <w:t xml:space="preserve">y en función a la categorización en el SIPER. </w:t>
      </w:r>
    </w:p>
    <w:p w:rsidR="007370D6" w:rsidRDefault="007370D6" w:rsidP="009C7FA4">
      <w:pPr>
        <w:ind w:right="-568"/>
        <w:jc w:val="both"/>
        <w:rPr>
          <w:b/>
          <w:i/>
          <w:u w:val="single"/>
        </w:rPr>
      </w:pPr>
    </w:p>
    <w:p w:rsidR="009C7FA4" w:rsidRDefault="009C7FA4" w:rsidP="009C7FA4">
      <w:pPr>
        <w:ind w:right="-568"/>
        <w:jc w:val="both"/>
        <w:rPr>
          <w:b/>
          <w:i/>
          <w:u w:val="single"/>
        </w:rPr>
      </w:pPr>
    </w:p>
    <w:p w:rsidR="007370D6" w:rsidRDefault="007370D6" w:rsidP="009C7FA4">
      <w:pPr>
        <w:ind w:right="-568"/>
        <w:jc w:val="both"/>
      </w:pPr>
      <w:r>
        <w:t>A través de la Resolución General 42</w:t>
      </w:r>
      <w:r w:rsidR="009C7FA4">
        <w:t>68</w:t>
      </w:r>
      <w:r>
        <w:t xml:space="preserve"> se sustituye el régimen de facilidades de pago permanente, estableciendo nuevos requisitos, formas y condiciones que se determinarán, principalmente en función del tipo de contribuyente y del perfil de cumplimiento de sus obligaciones fiscales. </w:t>
      </w:r>
    </w:p>
    <w:p w:rsidR="007370D6" w:rsidRDefault="007370D6" w:rsidP="009C7FA4">
      <w:pPr>
        <w:ind w:right="-568"/>
        <w:jc w:val="both"/>
      </w:pPr>
    </w:p>
    <w:p w:rsidR="004510E5" w:rsidRDefault="004510E5" w:rsidP="009C7FA4">
      <w:pPr>
        <w:ind w:right="-568"/>
        <w:jc w:val="both"/>
        <w:rPr>
          <w:lang w:val="es-AR"/>
        </w:rPr>
      </w:pPr>
      <w:r>
        <w:rPr>
          <w:lang w:val="es-AR"/>
        </w:rPr>
        <w:t>La cancelación mediante dicho plan no implica reducción alguna de intereses, como tampoco la liberación de las pertinentes sanciones.</w:t>
      </w:r>
    </w:p>
    <w:p w:rsidR="004510E5" w:rsidRDefault="004510E5" w:rsidP="009C7FA4">
      <w:pPr>
        <w:tabs>
          <w:tab w:val="left" w:pos="3920"/>
        </w:tabs>
        <w:ind w:right="-568"/>
        <w:jc w:val="both"/>
        <w:rPr>
          <w:b/>
          <w:i/>
          <w:u w:val="single"/>
        </w:rPr>
      </w:pPr>
    </w:p>
    <w:p w:rsidR="007370D6" w:rsidRDefault="007370D6" w:rsidP="009C7FA4">
      <w:pPr>
        <w:tabs>
          <w:tab w:val="left" w:pos="3920"/>
        </w:tabs>
        <w:ind w:right="-568"/>
        <w:jc w:val="both"/>
        <w:rPr>
          <w:b/>
          <w:i/>
          <w:u w:val="single"/>
        </w:rPr>
      </w:pPr>
    </w:p>
    <w:p w:rsidR="00BC3ADD" w:rsidRDefault="004510E5" w:rsidP="009C7FA4">
      <w:pPr>
        <w:pStyle w:val="Textoindependiente"/>
        <w:widowControl w:val="0"/>
        <w:numPr>
          <w:ilvl w:val="0"/>
          <w:numId w:val="1"/>
        </w:numPr>
        <w:tabs>
          <w:tab w:val="left" w:pos="709"/>
        </w:tabs>
        <w:ind w:left="0" w:right="-568" w:firstLine="0"/>
        <w:rPr>
          <w:b/>
          <w:u w:val="single"/>
          <w:lang w:val="es-AR"/>
        </w:rPr>
      </w:pPr>
      <w:r>
        <w:rPr>
          <w:b/>
          <w:u w:val="single"/>
          <w:lang w:val="es-AR"/>
        </w:rPr>
        <w:t>Sujetos y conceptos alcanzados</w:t>
      </w:r>
    </w:p>
    <w:p w:rsidR="00D3742B" w:rsidRDefault="00D3742B" w:rsidP="009C7FA4">
      <w:pPr>
        <w:pStyle w:val="Textoindependiente"/>
        <w:widowControl w:val="0"/>
        <w:tabs>
          <w:tab w:val="left" w:pos="9356"/>
        </w:tabs>
        <w:ind w:right="-568"/>
        <w:rPr>
          <w:lang w:val="es-AR"/>
        </w:rPr>
      </w:pPr>
    </w:p>
    <w:p w:rsidR="00D3742B" w:rsidRDefault="00D3742B" w:rsidP="009C7FA4">
      <w:pPr>
        <w:pStyle w:val="Textoindependiente"/>
        <w:widowControl w:val="0"/>
        <w:tabs>
          <w:tab w:val="left" w:pos="9356"/>
        </w:tabs>
        <w:ind w:right="-568"/>
        <w:rPr>
          <w:lang w:val="es-AR"/>
        </w:rPr>
      </w:pPr>
      <w:r>
        <w:rPr>
          <w:lang w:val="es-AR"/>
        </w:rPr>
        <w:t>El régimen de facilidades de pago resulta aplicable para la cancelación, total o parcial de:</w:t>
      </w:r>
    </w:p>
    <w:p w:rsidR="00D3742B" w:rsidRDefault="00D3742B" w:rsidP="009C7FA4">
      <w:pPr>
        <w:pStyle w:val="Textoindependiente"/>
        <w:widowControl w:val="0"/>
        <w:tabs>
          <w:tab w:val="left" w:pos="9356"/>
        </w:tabs>
        <w:ind w:right="-568"/>
        <w:rPr>
          <w:lang w:val="es-AR"/>
        </w:rPr>
      </w:pPr>
    </w:p>
    <w:p w:rsidR="00D3742B" w:rsidRDefault="00D3742B" w:rsidP="009C7FA4">
      <w:pPr>
        <w:pStyle w:val="Textoindependiente"/>
        <w:widowControl w:val="0"/>
        <w:numPr>
          <w:ilvl w:val="0"/>
          <w:numId w:val="4"/>
        </w:numPr>
        <w:tabs>
          <w:tab w:val="left" w:pos="9356"/>
        </w:tabs>
        <w:ind w:right="-568"/>
        <w:rPr>
          <w:lang w:val="es-AR"/>
        </w:rPr>
      </w:pPr>
      <w:r>
        <w:rPr>
          <w:lang w:val="es-AR"/>
        </w:rPr>
        <w:t>Obligaciones impositivas y de los recursos de la seguridad social, sus intereses, actualizaciones y</w:t>
      </w:r>
      <w:r w:rsidR="005F07C2">
        <w:rPr>
          <w:lang w:val="es-AR"/>
        </w:rPr>
        <w:t xml:space="preserve"> multas, vencidas a la fecha de presentación del plan, inclusive. </w:t>
      </w:r>
    </w:p>
    <w:p w:rsidR="00F91FCF" w:rsidRDefault="00F91FCF" w:rsidP="009C7FA4">
      <w:pPr>
        <w:pStyle w:val="Textoindependiente"/>
        <w:widowControl w:val="0"/>
        <w:tabs>
          <w:tab w:val="left" w:pos="9356"/>
        </w:tabs>
        <w:ind w:left="720" w:right="-568"/>
        <w:rPr>
          <w:lang w:val="es-AR"/>
        </w:rPr>
      </w:pPr>
    </w:p>
    <w:p w:rsidR="00F91FCF" w:rsidRDefault="00D3742B" w:rsidP="009C7FA4">
      <w:pPr>
        <w:pStyle w:val="Textoindependiente"/>
        <w:widowControl w:val="0"/>
        <w:numPr>
          <w:ilvl w:val="0"/>
          <w:numId w:val="4"/>
        </w:numPr>
        <w:tabs>
          <w:tab w:val="left" w:pos="9356"/>
        </w:tabs>
        <w:ind w:right="-568"/>
        <w:rPr>
          <w:lang w:val="es-AR"/>
        </w:rPr>
      </w:pPr>
      <w:r>
        <w:rPr>
          <w:lang w:val="es-AR"/>
        </w:rPr>
        <w:t xml:space="preserve">Multas y </w:t>
      </w:r>
      <w:r w:rsidR="005F07C2">
        <w:rPr>
          <w:lang w:val="es-AR"/>
        </w:rPr>
        <w:t xml:space="preserve">cargos suplementarios por tributos a </w:t>
      </w:r>
      <w:r>
        <w:rPr>
          <w:lang w:val="es-AR"/>
        </w:rPr>
        <w:t>la importación o exportación, sus intereses y actualizaciones.</w:t>
      </w:r>
    </w:p>
    <w:p w:rsidR="00F91FCF" w:rsidRPr="00F91FCF" w:rsidRDefault="00F91FCF" w:rsidP="009C7FA4">
      <w:pPr>
        <w:pStyle w:val="Textoindependiente"/>
        <w:widowControl w:val="0"/>
        <w:tabs>
          <w:tab w:val="left" w:pos="9356"/>
        </w:tabs>
        <w:ind w:right="-568"/>
        <w:rPr>
          <w:lang w:val="es-AR"/>
        </w:rPr>
      </w:pPr>
    </w:p>
    <w:p w:rsidR="00F91FCF" w:rsidRDefault="005F07C2" w:rsidP="009C7FA4">
      <w:pPr>
        <w:pStyle w:val="Textoindependiente"/>
        <w:widowControl w:val="0"/>
        <w:numPr>
          <w:ilvl w:val="0"/>
          <w:numId w:val="4"/>
        </w:numPr>
        <w:tabs>
          <w:tab w:val="left" w:pos="9356"/>
        </w:tabs>
        <w:ind w:right="-568"/>
        <w:rPr>
          <w:lang w:val="es-AR"/>
        </w:rPr>
      </w:pPr>
      <w:r>
        <w:rPr>
          <w:lang w:val="es-AR"/>
        </w:rPr>
        <w:t>Los saldos pendientes de cancelación por obligaciones incluidas en planes de facilidades de pago caducos, excepto</w:t>
      </w:r>
      <w:r w:rsidR="007E1FE7">
        <w:rPr>
          <w:lang w:val="es-AR"/>
        </w:rPr>
        <w:t xml:space="preserve"> aquellos detallados en </w:t>
      </w:r>
      <w:r w:rsidR="009C7FA4">
        <w:rPr>
          <w:lang w:val="es-AR"/>
        </w:rPr>
        <w:t>el inc. p)</w:t>
      </w:r>
      <w:r w:rsidR="007E1FE7">
        <w:rPr>
          <w:lang w:val="es-AR"/>
        </w:rPr>
        <w:t xml:space="preserve"> del apartado </w:t>
      </w:r>
      <w:r w:rsidR="00B60247">
        <w:rPr>
          <w:lang w:val="es-AR"/>
        </w:rPr>
        <w:t>“</w:t>
      </w:r>
      <w:r w:rsidR="007E1FE7">
        <w:rPr>
          <w:lang w:val="es-AR"/>
        </w:rPr>
        <w:t>Exclusiones</w:t>
      </w:r>
      <w:r w:rsidR="00B60247">
        <w:rPr>
          <w:lang w:val="es-AR"/>
        </w:rPr>
        <w:t>”</w:t>
      </w:r>
      <w:r w:rsidR="007E1FE7">
        <w:rPr>
          <w:lang w:val="es-AR"/>
        </w:rPr>
        <w:t xml:space="preserve"> de la presente.</w:t>
      </w:r>
    </w:p>
    <w:p w:rsidR="005F07C2" w:rsidRDefault="007E1FE7" w:rsidP="009C7FA4">
      <w:pPr>
        <w:pStyle w:val="Textoindependiente"/>
        <w:widowControl w:val="0"/>
        <w:tabs>
          <w:tab w:val="left" w:pos="9356"/>
        </w:tabs>
        <w:ind w:right="-568"/>
        <w:rPr>
          <w:lang w:val="es-AR"/>
        </w:rPr>
      </w:pPr>
      <w:r>
        <w:rPr>
          <w:lang w:val="es-AR"/>
        </w:rPr>
        <w:t xml:space="preserve"> </w:t>
      </w:r>
    </w:p>
    <w:p w:rsidR="00F273FF" w:rsidRDefault="00F273FF" w:rsidP="009C7FA4">
      <w:pPr>
        <w:pStyle w:val="Textoindependiente"/>
        <w:widowControl w:val="0"/>
        <w:numPr>
          <w:ilvl w:val="0"/>
          <w:numId w:val="4"/>
        </w:numPr>
        <w:tabs>
          <w:tab w:val="left" w:pos="9356"/>
        </w:tabs>
        <w:ind w:right="-568"/>
        <w:rPr>
          <w:lang w:val="es-AR"/>
        </w:rPr>
      </w:pPr>
      <w:r w:rsidRPr="00F273FF">
        <w:rPr>
          <w:lang w:val="es-AR"/>
        </w:rPr>
        <w:t>Los aportes personales de los trabajadores autónomos.</w:t>
      </w:r>
    </w:p>
    <w:p w:rsidR="00F91FCF" w:rsidRPr="00F273FF" w:rsidRDefault="00F91FCF" w:rsidP="009C7FA4">
      <w:pPr>
        <w:pStyle w:val="Textoindependiente"/>
        <w:widowControl w:val="0"/>
        <w:tabs>
          <w:tab w:val="left" w:pos="9356"/>
        </w:tabs>
        <w:ind w:right="-568"/>
        <w:rPr>
          <w:lang w:val="es-AR"/>
        </w:rPr>
      </w:pPr>
    </w:p>
    <w:p w:rsidR="00F273FF" w:rsidRDefault="00F273FF" w:rsidP="009C7FA4">
      <w:pPr>
        <w:pStyle w:val="Textoindependiente"/>
        <w:widowControl w:val="0"/>
        <w:numPr>
          <w:ilvl w:val="0"/>
          <w:numId w:val="4"/>
        </w:numPr>
        <w:tabs>
          <w:tab w:val="left" w:pos="9356"/>
        </w:tabs>
        <w:ind w:right="-568"/>
        <w:rPr>
          <w:lang w:val="es-AR"/>
        </w:rPr>
      </w:pPr>
      <w:r>
        <w:rPr>
          <w:lang w:val="es-AR"/>
        </w:rPr>
        <w:t>Los aportes personales de los trabajadores en relación de dependencia con destino al SIPA y al INSSJP.</w:t>
      </w:r>
    </w:p>
    <w:p w:rsidR="00F91FCF" w:rsidRDefault="00F91FCF" w:rsidP="009C7FA4">
      <w:pPr>
        <w:pStyle w:val="Textoindependiente"/>
        <w:widowControl w:val="0"/>
        <w:tabs>
          <w:tab w:val="left" w:pos="9356"/>
        </w:tabs>
        <w:ind w:right="-568"/>
        <w:rPr>
          <w:lang w:val="es-AR"/>
        </w:rPr>
      </w:pPr>
    </w:p>
    <w:p w:rsidR="007E1FE7" w:rsidRDefault="007E1FE7" w:rsidP="009C7FA4">
      <w:pPr>
        <w:pStyle w:val="Textoindependiente"/>
        <w:widowControl w:val="0"/>
        <w:numPr>
          <w:ilvl w:val="0"/>
          <w:numId w:val="4"/>
        </w:numPr>
        <w:tabs>
          <w:tab w:val="left" w:pos="9356"/>
        </w:tabs>
        <w:ind w:right="-568"/>
        <w:rPr>
          <w:lang w:val="es-AR"/>
        </w:rPr>
      </w:pPr>
      <w:r w:rsidRPr="007E1FE7">
        <w:rPr>
          <w:lang w:val="es-AR"/>
        </w:rPr>
        <w:t>El impuesto integrado y l</w:t>
      </w:r>
      <w:r w:rsidR="00920E31">
        <w:rPr>
          <w:lang w:val="es-AR"/>
        </w:rPr>
        <w:t>a</w:t>
      </w:r>
      <w:r w:rsidRPr="007E1FE7">
        <w:rPr>
          <w:lang w:val="es-AR"/>
        </w:rPr>
        <w:t xml:space="preserve">s cotizaciones previsionales fijas correspondientes a </w:t>
      </w:r>
      <w:r>
        <w:rPr>
          <w:lang w:val="es-AR"/>
        </w:rPr>
        <w:t>sujetos</w:t>
      </w:r>
      <w:r w:rsidRPr="007E1FE7">
        <w:rPr>
          <w:lang w:val="es-AR"/>
        </w:rPr>
        <w:t xml:space="preserve"> adheridos al Monotributo</w:t>
      </w:r>
      <w:r>
        <w:rPr>
          <w:lang w:val="es-AR"/>
        </w:rPr>
        <w:t>.</w:t>
      </w:r>
    </w:p>
    <w:p w:rsidR="00F91FCF" w:rsidRDefault="00F91FCF" w:rsidP="009C7FA4">
      <w:pPr>
        <w:pStyle w:val="Textoindependiente"/>
        <w:widowControl w:val="0"/>
        <w:tabs>
          <w:tab w:val="left" w:pos="9356"/>
        </w:tabs>
        <w:ind w:right="-568"/>
        <w:rPr>
          <w:lang w:val="es-AR"/>
        </w:rPr>
      </w:pPr>
    </w:p>
    <w:p w:rsidR="00F91FCF" w:rsidRDefault="00920E31" w:rsidP="009C7FA4">
      <w:pPr>
        <w:pStyle w:val="Textoindependiente"/>
        <w:widowControl w:val="0"/>
        <w:numPr>
          <w:ilvl w:val="0"/>
          <w:numId w:val="4"/>
        </w:numPr>
        <w:tabs>
          <w:tab w:val="left" w:pos="9356"/>
        </w:tabs>
        <w:ind w:right="-568"/>
        <w:rPr>
          <w:lang w:val="es-AR"/>
        </w:rPr>
      </w:pPr>
      <w:r w:rsidRPr="009C7FA4">
        <w:rPr>
          <w:lang w:val="es-AR"/>
        </w:rPr>
        <w:t xml:space="preserve">Los ajustes y/o multas formales y materiales resultantes de la actividad fiscalizadora de la AFIP, siempre que los mismos se encuentren conformados por el responsable y las </w:t>
      </w:r>
      <w:r w:rsidR="009C7FA4" w:rsidRPr="009C7FA4">
        <w:rPr>
          <w:lang w:val="es-AR"/>
        </w:rPr>
        <w:t xml:space="preserve">registradas en los sistemas de este Organismo. </w:t>
      </w:r>
    </w:p>
    <w:p w:rsidR="009C7FA4" w:rsidRPr="009C7FA4" w:rsidRDefault="009C7FA4" w:rsidP="009C7FA4">
      <w:pPr>
        <w:pStyle w:val="Textoindependiente"/>
        <w:widowControl w:val="0"/>
        <w:tabs>
          <w:tab w:val="left" w:pos="9356"/>
        </w:tabs>
        <w:ind w:right="-568"/>
        <w:rPr>
          <w:lang w:val="es-AR"/>
        </w:rPr>
      </w:pPr>
    </w:p>
    <w:p w:rsidR="00F91FCF" w:rsidRDefault="00920E31" w:rsidP="009C7FA4">
      <w:pPr>
        <w:pStyle w:val="Textoindependiente"/>
        <w:widowControl w:val="0"/>
        <w:numPr>
          <w:ilvl w:val="0"/>
          <w:numId w:val="4"/>
        </w:numPr>
        <w:tabs>
          <w:tab w:val="left" w:pos="9356"/>
        </w:tabs>
        <w:ind w:right="-568"/>
        <w:rPr>
          <w:lang w:val="es-AR"/>
        </w:rPr>
      </w:pPr>
      <w:r>
        <w:rPr>
          <w:lang w:val="es-AR"/>
        </w:rPr>
        <w:t>Las deudas en discusión administrativa, contencioso administrativa o judicial, así como en ejecución judicial, en tanto el demandado se allane incondicionalmente y/o desista de toda acción y derecho, incluso el de repetición.</w:t>
      </w:r>
    </w:p>
    <w:p w:rsidR="00920E31" w:rsidRDefault="00920E31" w:rsidP="009C7FA4">
      <w:pPr>
        <w:pStyle w:val="Textoindependiente"/>
        <w:widowControl w:val="0"/>
        <w:tabs>
          <w:tab w:val="left" w:pos="9356"/>
        </w:tabs>
        <w:ind w:right="-568"/>
        <w:rPr>
          <w:lang w:val="es-AR"/>
        </w:rPr>
      </w:pPr>
      <w:r>
        <w:rPr>
          <w:lang w:val="es-AR"/>
        </w:rPr>
        <w:lastRenderedPageBreak/>
        <w:t xml:space="preserve"> </w:t>
      </w:r>
    </w:p>
    <w:p w:rsidR="00920E31" w:rsidRPr="00F91FCF" w:rsidRDefault="00920E31" w:rsidP="009C7FA4">
      <w:pPr>
        <w:pStyle w:val="Textoindependiente"/>
        <w:widowControl w:val="0"/>
        <w:numPr>
          <w:ilvl w:val="0"/>
          <w:numId w:val="4"/>
        </w:numPr>
        <w:tabs>
          <w:tab w:val="left" w:pos="9356"/>
        </w:tabs>
        <w:ind w:right="-568"/>
        <w:rPr>
          <w:szCs w:val="24"/>
          <w:lang w:val="es-AR"/>
        </w:rPr>
      </w:pPr>
      <w:r>
        <w:rPr>
          <w:color w:val="000000"/>
          <w:szCs w:val="24"/>
        </w:rPr>
        <w:t xml:space="preserve">Las retenciones y percepciones impositivas </w:t>
      </w:r>
      <w:r w:rsidR="009C7FA4">
        <w:rPr>
          <w:color w:val="000000"/>
          <w:szCs w:val="24"/>
        </w:rPr>
        <w:t xml:space="preserve">–practicas o no- </w:t>
      </w:r>
      <w:r>
        <w:rPr>
          <w:color w:val="000000"/>
          <w:szCs w:val="24"/>
        </w:rPr>
        <w:t>correspondientes a sujetos alcanzados por el estado de emergencia, que cuenten con la caracterización correspondiente en el Sistema Registral, o aquellas incluidas en acciones de inspección.</w:t>
      </w:r>
    </w:p>
    <w:p w:rsidR="00F91FCF" w:rsidRPr="00920E31" w:rsidRDefault="00F91FCF" w:rsidP="009C7FA4">
      <w:pPr>
        <w:pStyle w:val="Textoindependiente"/>
        <w:widowControl w:val="0"/>
        <w:tabs>
          <w:tab w:val="left" w:pos="9356"/>
        </w:tabs>
        <w:ind w:right="-568"/>
        <w:rPr>
          <w:szCs w:val="24"/>
          <w:lang w:val="es-AR"/>
        </w:rPr>
      </w:pPr>
    </w:p>
    <w:p w:rsidR="00D3742B" w:rsidRDefault="00D3742B" w:rsidP="009C7FA4">
      <w:pPr>
        <w:pStyle w:val="Textoindependiente"/>
        <w:widowControl w:val="0"/>
        <w:numPr>
          <w:ilvl w:val="0"/>
          <w:numId w:val="4"/>
        </w:numPr>
        <w:tabs>
          <w:tab w:val="left" w:pos="9356"/>
        </w:tabs>
        <w:ind w:right="-568"/>
        <w:rPr>
          <w:lang w:val="es-AR"/>
        </w:rPr>
      </w:pPr>
      <w:r w:rsidRPr="007E1FE7">
        <w:rPr>
          <w:lang w:val="es-AR"/>
        </w:rPr>
        <w:t xml:space="preserve">El impuesto </w:t>
      </w:r>
      <w:r w:rsidR="009C7FA4">
        <w:rPr>
          <w:lang w:val="es-AR"/>
        </w:rPr>
        <w:t>a las salidas no documentadas</w:t>
      </w:r>
      <w:r w:rsidR="00920E31">
        <w:rPr>
          <w:lang w:val="es-AR"/>
        </w:rPr>
        <w:t xml:space="preserve">. </w:t>
      </w:r>
    </w:p>
    <w:p w:rsidR="00F91FCF" w:rsidRDefault="00F91FCF" w:rsidP="009C7FA4">
      <w:pPr>
        <w:pStyle w:val="Textoindependiente"/>
        <w:widowControl w:val="0"/>
        <w:tabs>
          <w:tab w:val="left" w:pos="9356"/>
        </w:tabs>
        <w:ind w:right="-568"/>
        <w:rPr>
          <w:lang w:val="es-AR"/>
        </w:rPr>
      </w:pPr>
    </w:p>
    <w:p w:rsidR="00920E31" w:rsidRDefault="00920E31" w:rsidP="009C7FA4">
      <w:pPr>
        <w:pStyle w:val="Textoindependiente"/>
        <w:widowControl w:val="0"/>
        <w:numPr>
          <w:ilvl w:val="0"/>
          <w:numId w:val="4"/>
        </w:numPr>
        <w:tabs>
          <w:tab w:val="left" w:pos="9356"/>
        </w:tabs>
        <w:ind w:right="-568"/>
        <w:rPr>
          <w:lang w:val="es-AR"/>
        </w:rPr>
      </w:pPr>
      <w:r>
        <w:rPr>
          <w:lang w:val="es-AR"/>
        </w:rPr>
        <w:t xml:space="preserve">Las obligaciones correspondientes a sujetos alcanzados por el estado de emergencia, donde se otorguen plazos especiales de cumplimiento de obligaciones y/o facilidades de pago, siempre que cuenten con la caracterización en el Sistema Registral. </w:t>
      </w:r>
    </w:p>
    <w:p w:rsidR="00F91FCF" w:rsidRPr="007E1FE7" w:rsidRDefault="00F91FCF" w:rsidP="009C7FA4">
      <w:pPr>
        <w:pStyle w:val="Textoindependiente"/>
        <w:widowControl w:val="0"/>
        <w:tabs>
          <w:tab w:val="left" w:pos="9356"/>
        </w:tabs>
        <w:ind w:right="-568"/>
        <w:rPr>
          <w:lang w:val="es-AR"/>
        </w:rPr>
      </w:pPr>
    </w:p>
    <w:p w:rsidR="00C4130E" w:rsidRPr="00C4130E" w:rsidRDefault="00C4130E" w:rsidP="009C7FA4">
      <w:pPr>
        <w:pStyle w:val="Textoindependiente"/>
        <w:widowControl w:val="0"/>
        <w:numPr>
          <w:ilvl w:val="0"/>
          <w:numId w:val="4"/>
        </w:numPr>
        <w:tabs>
          <w:tab w:val="left" w:pos="9356"/>
        </w:tabs>
        <w:ind w:right="-568"/>
        <w:rPr>
          <w:szCs w:val="24"/>
          <w:lang w:val="es-AR"/>
        </w:rPr>
      </w:pPr>
      <w:r w:rsidRPr="00C4130E">
        <w:rPr>
          <w:color w:val="000000"/>
          <w:szCs w:val="24"/>
        </w:rPr>
        <w:t>Las obligaciones que correspondan a sujetos que hayan adherido a un régimen de cancelación de deudas impositivas, previsionales y aduaneras mediante un sistema de dación en pago de espacios publicitarios o la utilización de servicios conexos</w:t>
      </w:r>
      <w:r>
        <w:rPr>
          <w:color w:val="000000"/>
          <w:szCs w:val="24"/>
        </w:rPr>
        <w:t>.</w:t>
      </w:r>
    </w:p>
    <w:p w:rsidR="00D3742B" w:rsidRDefault="00D3742B" w:rsidP="009C7FA4">
      <w:pPr>
        <w:pStyle w:val="Textoindependiente"/>
        <w:widowControl w:val="0"/>
        <w:tabs>
          <w:tab w:val="left" w:pos="9356"/>
        </w:tabs>
        <w:ind w:right="-568"/>
        <w:rPr>
          <w:lang w:val="es-AR"/>
        </w:rPr>
      </w:pPr>
    </w:p>
    <w:p w:rsidR="00D3742B" w:rsidRDefault="00D3742B" w:rsidP="009C7FA4">
      <w:pPr>
        <w:pStyle w:val="Textoindependiente"/>
        <w:widowControl w:val="0"/>
        <w:tabs>
          <w:tab w:val="left" w:pos="9356"/>
        </w:tabs>
        <w:ind w:right="-568"/>
        <w:rPr>
          <w:lang w:val="es-AR"/>
        </w:rPr>
      </w:pPr>
    </w:p>
    <w:p w:rsidR="00D3742B" w:rsidRPr="007A655C" w:rsidRDefault="00D3742B" w:rsidP="009C7FA4">
      <w:pPr>
        <w:pStyle w:val="Textoindependiente"/>
        <w:widowControl w:val="0"/>
        <w:numPr>
          <w:ilvl w:val="0"/>
          <w:numId w:val="1"/>
        </w:numPr>
        <w:tabs>
          <w:tab w:val="left" w:pos="709"/>
        </w:tabs>
        <w:ind w:right="-568"/>
        <w:rPr>
          <w:b/>
          <w:u w:val="single"/>
          <w:lang w:val="es-AR"/>
        </w:rPr>
      </w:pPr>
      <w:r w:rsidRPr="007A655C">
        <w:rPr>
          <w:b/>
          <w:u w:val="single"/>
          <w:lang w:val="es-AR"/>
        </w:rPr>
        <w:t>Exclusiones</w:t>
      </w:r>
    </w:p>
    <w:p w:rsidR="00D3742B" w:rsidRPr="007A655C" w:rsidRDefault="00D3742B" w:rsidP="009C7FA4">
      <w:pPr>
        <w:pStyle w:val="Textoindependiente"/>
        <w:widowControl w:val="0"/>
        <w:tabs>
          <w:tab w:val="left" w:pos="9356"/>
        </w:tabs>
        <w:ind w:left="360" w:right="-568"/>
        <w:rPr>
          <w:lang w:val="es-AR"/>
        </w:rPr>
      </w:pPr>
    </w:p>
    <w:p w:rsidR="00D3742B" w:rsidRPr="007A655C" w:rsidRDefault="00D3742B" w:rsidP="009C7FA4">
      <w:pPr>
        <w:pStyle w:val="Textoindependiente"/>
        <w:widowControl w:val="0"/>
        <w:tabs>
          <w:tab w:val="left" w:pos="9356"/>
        </w:tabs>
        <w:ind w:right="-568"/>
        <w:rPr>
          <w:lang w:val="es-AR"/>
        </w:rPr>
      </w:pPr>
      <w:r w:rsidRPr="007A655C">
        <w:rPr>
          <w:lang w:val="es-AR"/>
        </w:rPr>
        <w:t>Quedan excluidos del presente régimen:</w:t>
      </w:r>
    </w:p>
    <w:p w:rsidR="00D3742B" w:rsidRPr="007A655C" w:rsidRDefault="00D3742B" w:rsidP="009C7FA4">
      <w:pPr>
        <w:pStyle w:val="Textoindependiente"/>
        <w:widowControl w:val="0"/>
        <w:tabs>
          <w:tab w:val="left" w:pos="9356"/>
        </w:tabs>
        <w:ind w:left="360" w:right="-568"/>
        <w:rPr>
          <w:lang w:val="es-AR"/>
        </w:rPr>
      </w:pPr>
    </w:p>
    <w:p w:rsidR="00F91FCF" w:rsidRPr="007A655C" w:rsidRDefault="00F91FCF" w:rsidP="009C7FA4">
      <w:pPr>
        <w:pStyle w:val="Textoindependiente"/>
        <w:widowControl w:val="0"/>
        <w:numPr>
          <w:ilvl w:val="0"/>
          <w:numId w:val="5"/>
        </w:numPr>
        <w:tabs>
          <w:tab w:val="left" w:pos="9356"/>
        </w:tabs>
        <w:ind w:right="-568"/>
        <w:rPr>
          <w:lang w:val="es-AR"/>
        </w:rPr>
      </w:pPr>
      <w:r w:rsidRPr="007A655C">
        <w:rPr>
          <w:lang w:val="es-AR"/>
        </w:rPr>
        <w:t xml:space="preserve">Retenciones y percepciones impositivas o previsionales, por cualquier concepto, practicadas o no, excepto los aportes personales correspondientes a los trabajadores en relación de dependencia y las indicadas en el inc. </w:t>
      </w:r>
      <w:r w:rsidR="009C7FA4">
        <w:rPr>
          <w:lang w:val="es-AR"/>
        </w:rPr>
        <w:t>i</w:t>
      </w:r>
      <w:r w:rsidRPr="007A655C">
        <w:rPr>
          <w:lang w:val="es-AR"/>
        </w:rPr>
        <w:t>) del apartado anterior (sujetos en estado de emergencia)</w:t>
      </w:r>
      <w:r w:rsidR="00722235">
        <w:rPr>
          <w:lang w:val="es-AR"/>
        </w:rPr>
        <w:t>;</w:t>
      </w:r>
    </w:p>
    <w:p w:rsidR="007A655C" w:rsidRPr="007A655C" w:rsidRDefault="007A655C" w:rsidP="009C7FA4">
      <w:pPr>
        <w:pStyle w:val="Textoindependiente"/>
        <w:widowControl w:val="0"/>
        <w:tabs>
          <w:tab w:val="left" w:pos="9356"/>
        </w:tabs>
        <w:ind w:left="284" w:right="-568"/>
        <w:rPr>
          <w:lang w:val="es-AR"/>
        </w:rPr>
      </w:pPr>
    </w:p>
    <w:p w:rsidR="007A655C" w:rsidRDefault="007A655C" w:rsidP="009C7FA4">
      <w:pPr>
        <w:pStyle w:val="Textoindependiente"/>
        <w:widowControl w:val="0"/>
        <w:numPr>
          <w:ilvl w:val="0"/>
          <w:numId w:val="5"/>
        </w:numPr>
        <w:tabs>
          <w:tab w:val="left" w:pos="9356"/>
        </w:tabs>
        <w:ind w:right="-568"/>
        <w:rPr>
          <w:lang w:val="es-AR"/>
        </w:rPr>
      </w:pPr>
      <w:r w:rsidRPr="007A655C">
        <w:rPr>
          <w:lang w:val="es-AR"/>
        </w:rPr>
        <w:t>Anticipos y/o pagos a cuenta</w:t>
      </w:r>
      <w:r w:rsidR="00722235">
        <w:rPr>
          <w:lang w:val="es-AR"/>
        </w:rPr>
        <w:t>;</w:t>
      </w:r>
    </w:p>
    <w:p w:rsidR="007A655C" w:rsidRDefault="007A655C" w:rsidP="009C7FA4">
      <w:pPr>
        <w:pStyle w:val="Prrafodelista"/>
        <w:ind w:right="-568"/>
        <w:rPr>
          <w:lang w:val="es-AR"/>
        </w:rPr>
      </w:pPr>
    </w:p>
    <w:p w:rsidR="007A655C" w:rsidRPr="00F71374" w:rsidRDefault="007A655C" w:rsidP="009C7FA4">
      <w:pPr>
        <w:pStyle w:val="Textoindependiente"/>
        <w:widowControl w:val="0"/>
        <w:numPr>
          <w:ilvl w:val="0"/>
          <w:numId w:val="5"/>
        </w:numPr>
        <w:tabs>
          <w:tab w:val="left" w:pos="9356"/>
        </w:tabs>
        <w:ind w:right="-568"/>
        <w:rPr>
          <w:lang w:val="es-AR"/>
        </w:rPr>
      </w:pPr>
      <w:r w:rsidRPr="00F71374">
        <w:rPr>
          <w:lang w:val="es-AR"/>
        </w:rPr>
        <w:t xml:space="preserve">El Impuesto al Valor </w:t>
      </w:r>
      <w:r w:rsidR="00C56865" w:rsidRPr="00F71374">
        <w:rPr>
          <w:lang w:val="es-AR"/>
        </w:rPr>
        <w:t>A</w:t>
      </w:r>
      <w:r w:rsidRPr="00F71374">
        <w:rPr>
          <w:lang w:val="es-AR"/>
        </w:rPr>
        <w:t>gregado de los sujetos que cu</w:t>
      </w:r>
      <w:r w:rsidR="00F71374">
        <w:rPr>
          <w:lang w:val="es-AR"/>
        </w:rPr>
        <w:t xml:space="preserve">enten con el beneficio de diferimiento en el pago </w:t>
      </w:r>
      <w:r w:rsidRPr="00F71374">
        <w:rPr>
          <w:lang w:val="es-AR"/>
        </w:rPr>
        <w:t xml:space="preserve">del IVA </w:t>
      </w:r>
      <w:r w:rsidR="00C56865" w:rsidRPr="00F71374">
        <w:rPr>
          <w:lang w:val="es-AR"/>
        </w:rPr>
        <w:t>(Ver Circular Impositiva N° 833)</w:t>
      </w:r>
      <w:r w:rsidR="00722235">
        <w:rPr>
          <w:lang w:val="es-AR"/>
        </w:rPr>
        <w:t>;</w:t>
      </w:r>
      <w:r w:rsidR="00722235" w:rsidRPr="00722235">
        <w:rPr>
          <w:lang w:val="es-AR"/>
        </w:rPr>
        <w:t xml:space="preserve"> </w:t>
      </w:r>
    </w:p>
    <w:p w:rsidR="00F71374" w:rsidRPr="00100A9C" w:rsidRDefault="00F71374" w:rsidP="009C7FA4">
      <w:pPr>
        <w:pStyle w:val="Prrafodelista"/>
        <w:ind w:right="-568"/>
        <w:rPr>
          <w:lang w:val="es-AR"/>
        </w:rPr>
      </w:pPr>
    </w:p>
    <w:p w:rsidR="00F71374" w:rsidRPr="00100A9C" w:rsidRDefault="00F71374" w:rsidP="009C7FA4">
      <w:pPr>
        <w:pStyle w:val="Textoindependiente"/>
        <w:widowControl w:val="0"/>
        <w:numPr>
          <w:ilvl w:val="0"/>
          <w:numId w:val="5"/>
        </w:numPr>
        <w:tabs>
          <w:tab w:val="left" w:pos="9356"/>
        </w:tabs>
        <w:ind w:right="-568"/>
        <w:rPr>
          <w:lang w:val="es-AR"/>
        </w:rPr>
      </w:pPr>
      <w:r w:rsidRPr="00100A9C">
        <w:rPr>
          <w:lang w:val="es-AR"/>
        </w:rPr>
        <w:t>El impuesto al valor agregado que se debe ingresar por:</w:t>
      </w:r>
    </w:p>
    <w:p w:rsidR="00F71374" w:rsidRPr="00100A9C" w:rsidRDefault="00F71374" w:rsidP="009C7FA4">
      <w:pPr>
        <w:pStyle w:val="Textoindependiente"/>
        <w:widowControl w:val="0"/>
        <w:numPr>
          <w:ilvl w:val="0"/>
          <w:numId w:val="9"/>
        </w:numPr>
        <w:tabs>
          <w:tab w:val="left" w:pos="9356"/>
        </w:tabs>
        <w:ind w:left="993" w:right="-568" w:hanging="142"/>
        <w:rPr>
          <w:lang w:val="es-AR"/>
        </w:rPr>
      </w:pPr>
      <w:r w:rsidRPr="00100A9C">
        <w:rPr>
          <w:lang w:val="es-AR"/>
        </w:rPr>
        <w:t>Prestaciones de servicios</w:t>
      </w:r>
      <w:r w:rsidR="00100A9C" w:rsidRPr="00100A9C">
        <w:rPr>
          <w:lang w:val="es-AR"/>
        </w:rPr>
        <w:t xml:space="preserve"> realizadas en el exterior,</w:t>
      </w:r>
      <w:r w:rsidRPr="00100A9C">
        <w:rPr>
          <w:lang w:val="es-AR"/>
        </w:rPr>
        <w:t xml:space="preserve"> </w:t>
      </w:r>
      <w:r w:rsidR="00100A9C" w:rsidRPr="00100A9C">
        <w:rPr>
          <w:lang w:val="es-AR"/>
        </w:rPr>
        <w:t>cuya utilización o explotación efectiva se lleva a cabo en el país</w:t>
      </w:r>
      <w:r w:rsidRPr="00100A9C">
        <w:rPr>
          <w:lang w:val="es-AR"/>
        </w:rPr>
        <w:t>;</w:t>
      </w:r>
    </w:p>
    <w:p w:rsidR="00F71374" w:rsidRPr="00100A9C" w:rsidRDefault="00F71374" w:rsidP="009C7FA4">
      <w:pPr>
        <w:pStyle w:val="Textoindependiente"/>
        <w:widowControl w:val="0"/>
        <w:numPr>
          <w:ilvl w:val="0"/>
          <w:numId w:val="9"/>
        </w:numPr>
        <w:tabs>
          <w:tab w:val="left" w:pos="9356"/>
        </w:tabs>
        <w:ind w:left="993" w:right="-568" w:hanging="142"/>
        <w:rPr>
          <w:lang w:val="es-AR"/>
        </w:rPr>
      </w:pPr>
      <w:r w:rsidRPr="00100A9C">
        <w:rPr>
          <w:lang w:val="es-AR"/>
        </w:rPr>
        <w:t>Prestaciones de servicios digitales;</w:t>
      </w:r>
    </w:p>
    <w:p w:rsidR="00F71374" w:rsidRPr="009C7FA4" w:rsidRDefault="00F71374" w:rsidP="009C7FA4">
      <w:pPr>
        <w:pStyle w:val="Textoindependiente"/>
        <w:widowControl w:val="0"/>
        <w:numPr>
          <w:ilvl w:val="0"/>
          <w:numId w:val="9"/>
        </w:numPr>
        <w:tabs>
          <w:tab w:val="left" w:pos="9356"/>
        </w:tabs>
        <w:ind w:left="993" w:right="-568" w:hanging="142"/>
        <w:rPr>
          <w:lang w:val="es-AR"/>
        </w:rPr>
      </w:pPr>
      <w:r w:rsidRPr="0016360F">
        <w:rPr>
          <w:color w:val="000000"/>
          <w:szCs w:val="24"/>
        </w:rPr>
        <w:t>Prestaciones de servicios realizadas en el país por sujetos radicados en el exterior, incluso cuando el solicitante se trate de responsable sustituto.</w:t>
      </w:r>
    </w:p>
    <w:p w:rsidR="009C7FA4" w:rsidRPr="0016360F" w:rsidRDefault="009C7FA4" w:rsidP="009C7FA4">
      <w:pPr>
        <w:pStyle w:val="Textoindependiente"/>
        <w:widowControl w:val="0"/>
        <w:tabs>
          <w:tab w:val="left" w:pos="9356"/>
        </w:tabs>
        <w:ind w:left="993" w:right="-568"/>
        <w:rPr>
          <w:lang w:val="es-AR"/>
        </w:rPr>
      </w:pPr>
    </w:p>
    <w:p w:rsidR="00E17823" w:rsidRPr="0016360F" w:rsidRDefault="00E17823" w:rsidP="009C7FA4">
      <w:pPr>
        <w:pStyle w:val="Textoindependiente"/>
        <w:widowControl w:val="0"/>
        <w:numPr>
          <w:ilvl w:val="0"/>
          <w:numId w:val="5"/>
        </w:numPr>
        <w:tabs>
          <w:tab w:val="left" w:pos="9356"/>
        </w:tabs>
        <w:ind w:right="-568"/>
        <w:rPr>
          <w:lang w:val="es-AR"/>
        </w:rPr>
      </w:pPr>
      <w:r w:rsidRPr="0016360F">
        <w:rPr>
          <w:lang w:val="es-AR"/>
        </w:rPr>
        <w:t>El impuesto específico sobre la realización de apuestas</w:t>
      </w:r>
      <w:r w:rsidR="00722235">
        <w:rPr>
          <w:lang w:val="es-AR"/>
        </w:rPr>
        <w:t>;</w:t>
      </w:r>
    </w:p>
    <w:p w:rsidR="00E17823" w:rsidRPr="0016360F" w:rsidRDefault="00E17823" w:rsidP="009C7FA4">
      <w:pPr>
        <w:pStyle w:val="Textoindependiente"/>
        <w:widowControl w:val="0"/>
        <w:tabs>
          <w:tab w:val="left" w:pos="9356"/>
        </w:tabs>
        <w:ind w:left="284" w:right="-568"/>
        <w:rPr>
          <w:lang w:val="es-AR"/>
        </w:rPr>
      </w:pPr>
    </w:p>
    <w:p w:rsidR="00E17823" w:rsidRDefault="00E17823" w:rsidP="009C7FA4">
      <w:pPr>
        <w:pStyle w:val="Textoindependiente"/>
        <w:widowControl w:val="0"/>
        <w:numPr>
          <w:ilvl w:val="0"/>
          <w:numId w:val="5"/>
        </w:numPr>
        <w:tabs>
          <w:tab w:val="left" w:pos="9356"/>
        </w:tabs>
        <w:ind w:right="-568"/>
        <w:rPr>
          <w:lang w:val="es-AR"/>
        </w:rPr>
      </w:pPr>
      <w:r w:rsidRPr="0016360F">
        <w:rPr>
          <w:lang w:val="es-AR"/>
        </w:rPr>
        <w:t xml:space="preserve">Aportes y contribuciones de </w:t>
      </w:r>
      <w:r w:rsidR="0016360F">
        <w:rPr>
          <w:lang w:val="es-AR"/>
        </w:rPr>
        <w:t>O</w:t>
      </w:r>
      <w:r w:rsidRPr="0016360F">
        <w:rPr>
          <w:lang w:val="es-AR"/>
        </w:rPr>
        <w:t xml:space="preserve">bras </w:t>
      </w:r>
      <w:r w:rsidR="0016360F">
        <w:rPr>
          <w:lang w:val="es-AR"/>
        </w:rPr>
        <w:t>S</w:t>
      </w:r>
      <w:r w:rsidRPr="0016360F">
        <w:rPr>
          <w:lang w:val="es-AR"/>
        </w:rPr>
        <w:t>ociales, excepto los correspondientes a los sujetos adheridos al Monotributo</w:t>
      </w:r>
      <w:r w:rsidR="00722235">
        <w:rPr>
          <w:lang w:val="es-AR"/>
        </w:rPr>
        <w:t>;</w:t>
      </w:r>
      <w:r w:rsidRPr="0016360F">
        <w:rPr>
          <w:lang w:val="es-AR"/>
        </w:rPr>
        <w:t xml:space="preserve"> </w:t>
      </w:r>
    </w:p>
    <w:p w:rsidR="005310CC" w:rsidRDefault="005310CC" w:rsidP="009C7FA4">
      <w:pPr>
        <w:pStyle w:val="Prrafodelista"/>
        <w:ind w:right="-568"/>
        <w:rPr>
          <w:lang w:val="es-AR"/>
        </w:rPr>
      </w:pPr>
    </w:p>
    <w:p w:rsidR="005310CC" w:rsidRDefault="005310CC" w:rsidP="009C7FA4">
      <w:pPr>
        <w:pStyle w:val="Textoindependiente"/>
        <w:widowControl w:val="0"/>
        <w:numPr>
          <w:ilvl w:val="0"/>
          <w:numId w:val="5"/>
        </w:numPr>
        <w:tabs>
          <w:tab w:val="left" w:pos="9356"/>
        </w:tabs>
        <w:ind w:right="-568"/>
        <w:rPr>
          <w:lang w:val="es-AR"/>
        </w:rPr>
      </w:pPr>
      <w:r w:rsidRPr="005310CC">
        <w:rPr>
          <w:lang w:val="es-AR"/>
        </w:rPr>
        <w:t>Las cuotas destinadas a las aseguradoras de riesgo de trabajo (ART)</w:t>
      </w:r>
      <w:r w:rsidR="00722235">
        <w:rPr>
          <w:lang w:val="es-AR"/>
        </w:rPr>
        <w:t>;</w:t>
      </w:r>
    </w:p>
    <w:p w:rsidR="005310CC" w:rsidRDefault="005310CC" w:rsidP="009C7FA4">
      <w:pPr>
        <w:pStyle w:val="Prrafodelista"/>
        <w:ind w:right="-568"/>
        <w:rPr>
          <w:lang w:val="es-AR"/>
        </w:rPr>
      </w:pPr>
    </w:p>
    <w:p w:rsidR="005310CC" w:rsidRDefault="005310CC" w:rsidP="009C7FA4">
      <w:pPr>
        <w:pStyle w:val="Textoindependiente"/>
        <w:widowControl w:val="0"/>
        <w:numPr>
          <w:ilvl w:val="0"/>
          <w:numId w:val="5"/>
        </w:numPr>
        <w:tabs>
          <w:tab w:val="left" w:pos="9356"/>
        </w:tabs>
        <w:ind w:right="-568"/>
        <w:rPr>
          <w:lang w:val="es-AR"/>
        </w:rPr>
      </w:pPr>
      <w:r w:rsidRPr="005310CC">
        <w:rPr>
          <w:lang w:val="es-AR"/>
        </w:rPr>
        <w:t>Aportes y contribuciones de seguridad social correspondiente a empleados de</w:t>
      </w:r>
      <w:r w:rsidR="009C7FA4">
        <w:rPr>
          <w:lang w:val="es-AR"/>
        </w:rPr>
        <w:t>l</w:t>
      </w:r>
      <w:r w:rsidRPr="005310CC">
        <w:rPr>
          <w:lang w:val="es-AR"/>
        </w:rPr>
        <w:t xml:space="preserve"> servicio doméstico y trabajadores de casas particulares</w:t>
      </w:r>
      <w:r w:rsidR="00722235">
        <w:rPr>
          <w:lang w:val="es-AR"/>
        </w:rPr>
        <w:t>;</w:t>
      </w:r>
    </w:p>
    <w:p w:rsidR="007A7519" w:rsidRDefault="007A7519" w:rsidP="009C7FA4">
      <w:pPr>
        <w:pStyle w:val="Prrafodelista"/>
        <w:ind w:right="-568"/>
        <w:rPr>
          <w:lang w:val="es-AR"/>
        </w:rPr>
      </w:pPr>
    </w:p>
    <w:p w:rsidR="007A7519" w:rsidRPr="008441A3" w:rsidRDefault="007A7519" w:rsidP="009C7FA4">
      <w:pPr>
        <w:pStyle w:val="Textoindependiente"/>
        <w:widowControl w:val="0"/>
        <w:numPr>
          <w:ilvl w:val="0"/>
          <w:numId w:val="5"/>
        </w:numPr>
        <w:tabs>
          <w:tab w:val="left" w:pos="9356"/>
        </w:tabs>
        <w:ind w:right="-568"/>
        <w:rPr>
          <w:lang w:val="es-AR"/>
        </w:rPr>
      </w:pPr>
      <w:r w:rsidRPr="007A7519">
        <w:rPr>
          <w:lang w:val="es-AR"/>
        </w:rPr>
        <w:t xml:space="preserve">Las contribuciones y aportes previsionales fijos correspondientes a los trabajadores en relación de dependencia de sujetos adheridos al Monotributo, </w:t>
      </w:r>
      <w:r w:rsidRPr="008441A3">
        <w:rPr>
          <w:lang w:val="es-AR"/>
        </w:rPr>
        <w:t>devengadas hasta el mes de junio 2004</w:t>
      </w:r>
      <w:r w:rsidR="00722235">
        <w:rPr>
          <w:lang w:val="es-AR"/>
        </w:rPr>
        <w:t>;</w:t>
      </w:r>
    </w:p>
    <w:p w:rsidR="008441A3" w:rsidRPr="008441A3" w:rsidRDefault="008441A3" w:rsidP="009C7FA4">
      <w:pPr>
        <w:pStyle w:val="Prrafodelista"/>
        <w:ind w:right="-568"/>
        <w:rPr>
          <w:lang w:val="es-AR"/>
        </w:rPr>
      </w:pPr>
    </w:p>
    <w:p w:rsidR="008441A3" w:rsidRPr="008441A3" w:rsidRDefault="008441A3" w:rsidP="009C7FA4">
      <w:pPr>
        <w:pStyle w:val="Textoindependiente"/>
        <w:widowControl w:val="0"/>
        <w:numPr>
          <w:ilvl w:val="0"/>
          <w:numId w:val="5"/>
        </w:numPr>
        <w:tabs>
          <w:tab w:val="left" w:pos="9356"/>
        </w:tabs>
        <w:ind w:right="-568"/>
        <w:rPr>
          <w:lang w:val="es-AR"/>
        </w:rPr>
      </w:pPr>
      <w:r w:rsidRPr="008441A3">
        <w:rPr>
          <w:lang w:val="es-AR"/>
        </w:rPr>
        <w:t>Los aportes y contribuciones con destino al Registro Nacional de trabajadores rurales/agrarios y empleadores(RENATRE y RENATEA)</w:t>
      </w:r>
      <w:r w:rsidR="00722235">
        <w:rPr>
          <w:lang w:val="es-AR"/>
        </w:rPr>
        <w:t>;</w:t>
      </w:r>
    </w:p>
    <w:p w:rsidR="008441A3" w:rsidRPr="008441A3" w:rsidRDefault="008441A3" w:rsidP="009C7FA4">
      <w:pPr>
        <w:pStyle w:val="Prrafodelista"/>
        <w:ind w:right="-568"/>
        <w:rPr>
          <w:lang w:val="es-AR"/>
        </w:rPr>
      </w:pPr>
    </w:p>
    <w:p w:rsidR="008441A3" w:rsidRPr="00910BFF" w:rsidRDefault="008441A3" w:rsidP="009C7FA4">
      <w:pPr>
        <w:pStyle w:val="Textoindependiente"/>
        <w:widowControl w:val="0"/>
        <w:numPr>
          <w:ilvl w:val="0"/>
          <w:numId w:val="5"/>
        </w:numPr>
        <w:tabs>
          <w:tab w:val="left" w:pos="9356"/>
        </w:tabs>
        <w:ind w:right="-568"/>
        <w:rPr>
          <w:lang w:val="es-AR"/>
        </w:rPr>
      </w:pPr>
      <w:r w:rsidRPr="008441A3">
        <w:rPr>
          <w:lang w:val="es-AR"/>
        </w:rPr>
        <w:t xml:space="preserve">Las </w:t>
      </w:r>
      <w:r w:rsidRPr="00910BFF">
        <w:rPr>
          <w:lang w:val="es-AR"/>
        </w:rPr>
        <w:t>cuotas de planes de facilidades de pago vigentes</w:t>
      </w:r>
      <w:r w:rsidR="00722235">
        <w:rPr>
          <w:lang w:val="es-AR"/>
        </w:rPr>
        <w:t>;</w:t>
      </w:r>
    </w:p>
    <w:p w:rsidR="008441A3" w:rsidRPr="00910BFF" w:rsidRDefault="008441A3" w:rsidP="009C7FA4">
      <w:pPr>
        <w:pStyle w:val="Prrafodelista"/>
        <w:ind w:right="-568"/>
        <w:rPr>
          <w:lang w:val="es-AR"/>
        </w:rPr>
      </w:pPr>
    </w:p>
    <w:p w:rsidR="00910BFF" w:rsidRPr="00910BFF" w:rsidRDefault="00910BFF" w:rsidP="009C7FA4">
      <w:pPr>
        <w:pStyle w:val="Textoindependiente"/>
        <w:widowControl w:val="0"/>
        <w:numPr>
          <w:ilvl w:val="0"/>
          <w:numId w:val="5"/>
        </w:numPr>
        <w:tabs>
          <w:tab w:val="left" w:pos="9356"/>
        </w:tabs>
        <w:ind w:right="-568"/>
        <w:rPr>
          <w:lang w:val="es-AR"/>
        </w:rPr>
      </w:pPr>
      <w:r w:rsidRPr="00910BFF">
        <w:rPr>
          <w:lang w:val="es-AR"/>
        </w:rPr>
        <w:t>Los importes fijos mensuales correspondientes al régimen simplificado del impuesto sobre Ingresos Brutos que incide sobre la actividad comercial, industrial y de servicios</w:t>
      </w:r>
      <w:r w:rsidR="00722235">
        <w:rPr>
          <w:lang w:val="es-AR"/>
        </w:rPr>
        <w:t>;</w:t>
      </w:r>
    </w:p>
    <w:p w:rsidR="00910BFF" w:rsidRPr="00910BFF" w:rsidRDefault="00910BFF" w:rsidP="009C7FA4">
      <w:pPr>
        <w:pStyle w:val="Prrafodelista"/>
        <w:ind w:right="-568"/>
        <w:rPr>
          <w:lang w:val="es-AR"/>
        </w:rPr>
      </w:pPr>
    </w:p>
    <w:p w:rsidR="00910BFF" w:rsidRDefault="00910BFF" w:rsidP="009C7FA4">
      <w:pPr>
        <w:pStyle w:val="Textoindependiente"/>
        <w:widowControl w:val="0"/>
        <w:numPr>
          <w:ilvl w:val="0"/>
          <w:numId w:val="5"/>
        </w:numPr>
        <w:tabs>
          <w:tab w:val="left" w:pos="9356"/>
        </w:tabs>
        <w:ind w:right="-568"/>
        <w:rPr>
          <w:lang w:val="es-AR"/>
        </w:rPr>
      </w:pPr>
      <w:r w:rsidRPr="00910BFF">
        <w:rPr>
          <w:lang w:val="es-AR"/>
        </w:rPr>
        <w:t xml:space="preserve">El impuesto adicional de emergencia </w:t>
      </w:r>
      <w:r w:rsidR="009C7FA4">
        <w:rPr>
          <w:lang w:val="es-AR"/>
        </w:rPr>
        <w:t>sobre la venta de</w:t>
      </w:r>
      <w:r w:rsidRPr="00910BFF">
        <w:rPr>
          <w:lang w:val="es-AR"/>
        </w:rPr>
        <w:t xml:space="preserve"> cigarrillos</w:t>
      </w:r>
      <w:r w:rsidR="008F2CAE">
        <w:rPr>
          <w:lang w:val="es-AR"/>
        </w:rPr>
        <w:t>;</w:t>
      </w:r>
    </w:p>
    <w:p w:rsidR="008F2CAE" w:rsidRDefault="008F2CAE" w:rsidP="009C7FA4">
      <w:pPr>
        <w:pStyle w:val="Prrafodelista"/>
        <w:ind w:right="-568"/>
        <w:rPr>
          <w:lang w:val="es-AR"/>
        </w:rPr>
      </w:pPr>
    </w:p>
    <w:p w:rsidR="00777B34" w:rsidRDefault="009C7FA4" w:rsidP="009C7FA4">
      <w:pPr>
        <w:pStyle w:val="Textoindependiente"/>
        <w:widowControl w:val="0"/>
        <w:numPr>
          <w:ilvl w:val="0"/>
          <w:numId w:val="5"/>
        </w:numPr>
        <w:tabs>
          <w:tab w:val="left" w:pos="9356"/>
        </w:tabs>
        <w:ind w:right="-568"/>
        <w:rPr>
          <w:lang w:val="es-AR"/>
        </w:rPr>
      </w:pPr>
      <w:r>
        <w:rPr>
          <w:lang w:val="es-AR"/>
        </w:rPr>
        <w:t>Las o</w:t>
      </w:r>
      <w:r w:rsidR="00777B34" w:rsidRPr="008F2CAE">
        <w:rPr>
          <w:lang w:val="es-AR"/>
        </w:rPr>
        <w:t>bligaciones incluidas en planes de facilidades de pago vigentes o pre caducos, excepto que surja de un ajuste resultante de una acción fiscalizadora</w:t>
      </w:r>
      <w:r w:rsidR="00722235">
        <w:rPr>
          <w:lang w:val="es-AR"/>
        </w:rPr>
        <w:t>;</w:t>
      </w:r>
      <w:r w:rsidR="00777B34" w:rsidRPr="008F2CAE">
        <w:rPr>
          <w:lang w:val="es-AR"/>
        </w:rPr>
        <w:t xml:space="preserve"> </w:t>
      </w:r>
    </w:p>
    <w:p w:rsidR="0006282E" w:rsidRDefault="0006282E" w:rsidP="009C7FA4">
      <w:pPr>
        <w:pStyle w:val="Prrafodelista"/>
        <w:ind w:right="-568"/>
        <w:rPr>
          <w:lang w:val="es-AR"/>
        </w:rPr>
      </w:pPr>
    </w:p>
    <w:p w:rsidR="008F2CAE" w:rsidRDefault="008F2CAE" w:rsidP="009C7FA4">
      <w:pPr>
        <w:pStyle w:val="Textoindependiente"/>
        <w:widowControl w:val="0"/>
        <w:numPr>
          <w:ilvl w:val="0"/>
          <w:numId w:val="5"/>
        </w:numPr>
        <w:tabs>
          <w:tab w:val="left" w:pos="9356"/>
        </w:tabs>
        <w:ind w:right="-568"/>
        <w:rPr>
          <w:lang w:val="es-AR"/>
        </w:rPr>
      </w:pPr>
      <w:r>
        <w:rPr>
          <w:lang w:val="es-AR"/>
        </w:rPr>
        <w:t>Las obligaciones susceptibles de acogimiento en el plan de facilidades permanente especial para la regularización de deudas generadas en la exclusión del Monotributo</w:t>
      </w:r>
      <w:r w:rsidR="00722235">
        <w:rPr>
          <w:lang w:val="es-AR"/>
        </w:rPr>
        <w:t>;</w:t>
      </w:r>
      <w:r>
        <w:rPr>
          <w:lang w:val="es-AR"/>
        </w:rPr>
        <w:t xml:space="preserve"> </w:t>
      </w:r>
    </w:p>
    <w:p w:rsidR="0006282E" w:rsidRDefault="0006282E" w:rsidP="009C7FA4">
      <w:pPr>
        <w:pStyle w:val="Prrafodelista"/>
        <w:ind w:right="-568"/>
        <w:rPr>
          <w:lang w:val="es-AR"/>
        </w:rPr>
      </w:pPr>
    </w:p>
    <w:p w:rsidR="0006282E" w:rsidRDefault="0006282E" w:rsidP="009C7FA4">
      <w:pPr>
        <w:pStyle w:val="Textoindependiente"/>
        <w:widowControl w:val="0"/>
        <w:numPr>
          <w:ilvl w:val="0"/>
          <w:numId w:val="5"/>
        </w:numPr>
        <w:tabs>
          <w:tab w:val="left" w:pos="9356"/>
        </w:tabs>
        <w:ind w:right="-568"/>
        <w:rPr>
          <w:lang w:val="es-AR"/>
        </w:rPr>
      </w:pPr>
      <w:r>
        <w:rPr>
          <w:lang w:val="es-AR"/>
        </w:rPr>
        <w:t xml:space="preserve">Las deudas incluidas en los planes de facilidades de pagos caducos correspondiente al: </w:t>
      </w:r>
    </w:p>
    <w:p w:rsidR="0006282E" w:rsidRDefault="0006282E" w:rsidP="009C7FA4">
      <w:pPr>
        <w:pStyle w:val="Textoindependiente"/>
        <w:widowControl w:val="0"/>
        <w:numPr>
          <w:ilvl w:val="1"/>
          <w:numId w:val="5"/>
        </w:numPr>
        <w:tabs>
          <w:tab w:val="left" w:pos="9356"/>
        </w:tabs>
        <w:ind w:right="-568"/>
        <w:rPr>
          <w:lang w:val="es-AR"/>
        </w:rPr>
      </w:pPr>
      <w:r>
        <w:rPr>
          <w:lang w:val="es-AR"/>
        </w:rPr>
        <w:t>Plan establecido por la presente norma;</w:t>
      </w:r>
    </w:p>
    <w:p w:rsidR="0006282E" w:rsidRDefault="0006282E" w:rsidP="009C7FA4">
      <w:pPr>
        <w:pStyle w:val="Textoindependiente"/>
        <w:widowControl w:val="0"/>
        <w:numPr>
          <w:ilvl w:val="1"/>
          <w:numId w:val="5"/>
        </w:numPr>
        <w:tabs>
          <w:tab w:val="left" w:pos="9356"/>
        </w:tabs>
        <w:ind w:right="-568"/>
        <w:rPr>
          <w:lang w:val="es-AR"/>
        </w:rPr>
      </w:pPr>
      <w:r>
        <w:rPr>
          <w:lang w:val="es-AR"/>
        </w:rPr>
        <w:t xml:space="preserve">Plan de facilidades de pago para cancelar el Impuesto a las Ganancias y/o sobre los Bienes Personales (RG 4057 AFIP - ver Circular Impositiva N° 864). </w:t>
      </w:r>
    </w:p>
    <w:p w:rsidR="0006282E" w:rsidRDefault="0006282E" w:rsidP="009C7FA4">
      <w:pPr>
        <w:pStyle w:val="Textoindependiente"/>
        <w:widowControl w:val="0"/>
        <w:numPr>
          <w:ilvl w:val="1"/>
          <w:numId w:val="5"/>
        </w:numPr>
        <w:tabs>
          <w:tab w:val="left" w:pos="9356"/>
        </w:tabs>
        <w:ind w:right="-568"/>
        <w:rPr>
          <w:lang w:val="es-AR"/>
        </w:rPr>
      </w:pPr>
      <w:r>
        <w:rPr>
          <w:lang w:val="es-AR"/>
        </w:rPr>
        <w:t>Plan de facilidades de pago para cancelar las obligaciones resultantes de la exclusión en el Régimen del Monotributo (RG 4166 AFIP).</w:t>
      </w:r>
    </w:p>
    <w:p w:rsidR="00D3742B" w:rsidRPr="00EF57C1" w:rsidRDefault="00D3742B" w:rsidP="009C7FA4">
      <w:pPr>
        <w:pStyle w:val="Textoindependiente"/>
        <w:widowControl w:val="0"/>
        <w:tabs>
          <w:tab w:val="left" w:pos="9356"/>
        </w:tabs>
        <w:ind w:left="644" w:right="-568"/>
        <w:rPr>
          <w:highlight w:val="yellow"/>
          <w:lang w:val="es-AR"/>
        </w:rPr>
      </w:pPr>
    </w:p>
    <w:p w:rsidR="00714BE5" w:rsidRDefault="0006282E" w:rsidP="009C7FA4">
      <w:pPr>
        <w:pStyle w:val="Textoindependiente"/>
        <w:widowControl w:val="0"/>
        <w:numPr>
          <w:ilvl w:val="0"/>
          <w:numId w:val="5"/>
        </w:numPr>
        <w:tabs>
          <w:tab w:val="left" w:pos="9356"/>
        </w:tabs>
        <w:ind w:right="-568"/>
        <w:rPr>
          <w:lang w:val="es-AR"/>
        </w:rPr>
      </w:pPr>
      <w:r>
        <w:rPr>
          <w:lang w:val="es-AR"/>
        </w:rPr>
        <w:t>Los t</w:t>
      </w:r>
      <w:r w:rsidR="00714BE5" w:rsidRPr="0006282E">
        <w:rPr>
          <w:lang w:val="es-AR"/>
        </w:rPr>
        <w:t xml:space="preserve">ributos y/o multas que surjan de infracciones al </w:t>
      </w:r>
      <w:proofErr w:type="gramStart"/>
      <w:r w:rsidR="009C7FA4">
        <w:rPr>
          <w:lang w:val="es-AR"/>
        </w:rPr>
        <w:t>art.</w:t>
      </w:r>
      <w:r w:rsidR="00714BE5" w:rsidRPr="0006282E">
        <w:rPr>
          <w:lang w:val="es-AR"/>
        </w:rPr>
        <w:t>.</w:t>
      </w:r>
      <w:proofErr w:type="gramEnd"/>
      <w:r w:rsidR="00714BE5" w:rsidRPr="0006282E">
        <w:rPr>
          <w:lang w:val="es-AR"/>
        </w:rPr>
        <w:t xml:space="preserve">488, Régimen de Equipaje del </w:t>
      </w:r>
      <w:r w:rsidR="009C7FA4">
        <w:rPr>
          <w:lang w:val="es-AR"/>
        </w:rPr>
        <w:t>C</w:t>
      </w:r>
      <w:r w:rsidR="00714BE5" w:rsidRPr="0006282E">
        <w:rPr>
          <w:lang w:val="es-AR"/>
        </w:rPr>
        <w:t xml:space="preserve">ódigo </w:t>
      </w:r>
      <w:r w:rsidR="009C7FA4">
        <w:rPr>
          <w:lang w:val="es-AR"/>
        </w:rPr>
        <w:t>A</w:t>
      </w:r>
      <w:r w:rsidR="00714BE5" w:rsidRPr="0006282E">
        <w:rPr>
          <w:lang w:val="es-AR"/>
        </w:rPr>
        <w:t>duanero</w:t>
      </w:r>
      <w:r w:rsidR="00722235">
        <w:rPr>
          <w:lang w:val="es-AR"/>
        </w:rPr>
        <w:t>;</w:t>
      </w:r>
    </w:p>
    <w:p w:rsidR="005C3C0F" w:rsidRPr="0006282E" w:rsidRDefault="005C3C0F" w:rsidP="009C7FA4">
      <w:pPr>
        <w:pStyle w:val="Textoindependiente"/>
        <w:widowControl w:val="0"/>
        <w:tabs>
          <w:tab w:val="left" w:pos="9356"/>
        </w:tabs>
        <w:ind w:left="644" w:right="-568"/>
        <w:rPr>
          <w:lang w:val="es-AR"/>
        </w:rPr>
      </w:pPr>
    </w:p>
    <w:p w:rsidR="00837CBF" w:rsidRDefault="00447537" w:rsidP="009C7FA4">
      <w:pPr>
        <w:pStyle w:val="Textoindependiente"/>
        <w:widowControl w:val="0"/>
        <w:numPr>
          <w:ilvl w:val="0"/>
          <w:numId w:val="5"/>
        </w:numPr>
        <w:tabs>
          <w:tab w:val="left" w:pos="9356"/>
        </w:tabs>
        <w:ind w:right="-568"/>
        <w:rPr>
          <w:lang w:val="es-AR"/>
        </w:rPr>
      </w:pPr>
      <w:r w:rsidRPr="00447537">
        <w:rPr>
          <w:lang w:val="es-AR"/>
        </w:rPr>
        <w:t>Los i</w:t>
      </w:r>
      <w:r w:rsidR="00714BE5" w:rsidRPr="00447537">
        <w:rPr>
          <w:lang w:val="es-AR"/>
        </w:rPr>
        <w:t>mpuestos sobre los c</w:t>
      </w:r>
      <w:r w:rsidRPr="00447537">
        <w:rPr>
          <w:lang w:val="es-AR"/>
        </w:rPr>
        <w:t>ombustibles líquidos, el gas natural y al d</w:t>
      </w:r>
      <w:r w:rsidR="00837CBF">
        <w:rPr>
          <w:lang w:val="es-AR"/>
        </w:rPr>
        <w:t>ióxido de carbono;</w:t>
      </w:r>
    </w:p>
    <w:p w:rsidR="00837CBF" w:rsidRDefault="00837CBF" w:rsidP="009C7FA4">
      <w:pPr>
        <w:pStyle w:val="Prrafodelista"/>
        <w:ind w:right="-568"/>
        <w:rPr>
          <w:lang w:val="es-AR"/>
        </w:rPr>
      </w:pPr>
    </w:p>
    <w:p w:rsidR="00714BE5" w:rsidRPr="00837CBF" w:rsidRDefault="00837CBF" w:rsidP="009C7FA4">
      <w:pPr>
        <w:pStyle w:val="Textoindependiente"/>
        <w:widowControl w:val="0"/>
        <w:numPr>
          <w:ilvl w:val="0"/>
          <w:numId w:val="5"/>
        </w:numPr>
        <w:tabs>
          <w:tab w:val="left" w:pos="9356"/>
        </w:tabs>
        <w:ind w:right="-568"/>
        <w:rPr>
          <w:lang w:val="es-AR"/>
        </w:rPr>
      </w:pPr>
      <w:r w:rsidRPr="00837CBF">
        <w:rPr>
          <w:lang w:val="es-AR"/>
        </w:rPr>
        <w:t>Las o</w:t>
      </w:r>
      <w:r w:rsidR="00714BE5" w:rsidRPr="00837CBF">
        <w:rPr>
          <w:lang w:val="es-AR"/>
        </w:rPr>
        <w:t xml:space="preserve">bligaciones correspondientes al </w:t>
      </w:r>
      <w:r w:rsidR="009C7FA4">
        <w:rPr>
          <w:lang w:val="es-AR"/>
        </w:rPr>
        <w:t>I</w:t>
      </w:r>
      <w:r w:rsidR="00714BE5" w:rsidRPr="00837CBF">
        <w:rPr>
          <w:lang w:val="es-AR"/>
        </w:rPr>
        <w:t xml:space="preserve">mpuesto a las </w:t>
      </w:r>
      <w:r w:rsidR="009C7FA4">
        <w:rPr>
          <w:lang w:val="es-AR"/>
        </w:rPr>
        <w:t>G</w:t>
      </w:r>
      <w:r w:rsidR="00714BE5" w:rsidRPr="00837CBF">
        <w:rPr>
          <w:lang w:val="es-AR"/>
        </w:rPr>
        <w:t xml:space="preserve">anancias y sobre los </w:t>
      </w:r>
      <w:r w:rsidR="009C7FA4">
        <w:rPr>
          <w:lang w:val="es-AR"/>
        </w:rPr>
        <w:t>B</w:t>
      </w:r>
      <w:r w:rsidR="00714BE5" w:rsidRPr="00837CBF">
        <w:rPr>
          <w:lang w:val="es-AR"/>
        </w:rPr>
        <w:t xml:space="preserve">ienes </w:t>
      </w:r>
      <w:r w:rsidR="009C7FA4">
        <w:rPr>
          <w:lang w:val="es-AR"/>
        </w:rPr>
        <w:t>P</w:t>
      </w:r>
      <w:r w:rsidR="00714BE5" w:rsidRPr="00837CBF">
        <w:rPr>
          <w:lang w:val="es-AR"/>
        </w:rPr>
        <w:t xml:space="preserve">ersonales </w:t>
      </w:r>
      <w:r w:rsidRPr="00837CBF">
        <w:rPr>
          <w:lang w:val="es-AR"/>
        </w:rPr>
        <w:t xml:space="preserve">cuyo vencimiento hubiera operado en </w:t>
      </w:r>
      <w:r w:rsidR="00714BE5" w:rsidRPr="00837CBF">
        <w:rPr>
          <w:lang w:val="es-AR"/>
        </w:rPr>
        <w:t>el mismo año calendario de la presentación del pl</w:t>
      </w:r>
      <w:r w:rsidRPr="00837CBF">
        <w:rPr>
          <w:lang w:val="es-AR"/>
        </w:rPr>
        <w:t>an de facilidades;</w:t>
      </w:r>
    </w:p>
    <w:p w:rsidR="00837CBF" w:rsidRPr="00837CBF" w:rsidRDefault="00837CBF" w:rsidP="009C7FA4">
      <w:pPr>
        <w:pStyle w:val="Prrafodelista"/>
        <w:ind w:right="-568"/>
        <w:rPr>
          <w:lang w:val="es-AR"/>
        </w:rPr>
      </w:pPr>
    </w:p>
    <w:p w:rsidR="00837CBF" w:rsidRPr="00837CBF" w:rsidRDefault="00837CBF" w:rsidP="009C7FA4">
      <w:pPr>
        <w:pStyle w:val="Textoindependiente"/>
        <w:widowControl w:val="0"/>
        <w:numPr>
          <w:ilvl w:val="0"/>
          <w:numId w:val="5"/>
        </w:numPr>
        <w:tabs>
          <w:tab w:val="left" w:pos="9356"/>
        </w:tabs>
        <w:ind w:right="-568"/>
        <w:rPr>
          <w:lang w:val="es-AR"/>
        </w:rPr>
      </w:pPr>
      <w:r w:rsidRPr="00837CBF">
        <w:rPr>
          <w:lang w:val="es-AR"/>
        </w:rPr>
        <w:t>Los intereses, mul</w:t>
      </w:r>
      <w:r w:rsidR="009C7FA4">
        <w:rPr>
          <w:lang w:val="es-AR"/>
        </w:rPr>
        <w:t>t</w:t>
      </w:r>
      <w:r w:rsidRPr="00837CBF">
        <w:rPr>
          <w:lang w:val="es-AR"/>
        </w:rPr>
        <w:t>as y demás accesorios relacionados con los conceptos precedentes;</w:t>
      </w:r>
    </w:p>
    <w:p w:rsidR="00837CBF" w:rsidRPr="00837CBF" w:rsidRDefault="00837CBF" w:rsidP="009C7FA4">
      <w:pPr>
        <w:pStyle w:val="Prrafodelista"/>
        <w:ind w:right="-568"/>
        <w:rPr>
          <w:lang w:val="es-AR"/>
        </w:rPr>
      </w:pPr>
    </w:p>
    <w:p w:rsidR="00714BE5" w:rsidRPr="00837CBF" w:rsidRDefault="00837CBF" w:rsidP="009C7FA4">
      <w:pPr>
        <w:pStyle w:val="Textoindependiente"/>
        <w:widowControl w:val="0"/>
        <w:numPr>
          <w:ilvl w:val="0"/>
          <w:numId w:val="5"/>
        </w:numPr>
        <w:tabs>
          <w:tab w:val="left" w:pos="9356"/>
        </w:tabs>
        <w:ind w:right="-568"/>
        <w:rPr>
          <w:lang w:val="es-AR"/>
        </w:rPr>
      </w:pPr>
      <w:r w:rsidRPr="00837CBF">
        <w:rPr>
          <w:lang w:val="es-AR"/>
        </w:rPr>
        <w:t>Los i</w:t>
      </w:r>
      <w:r w:rsidR="00714BE5" w:rsidRPr="00837CBF">
        <w:rPr>
          <w:lang w:val="es-AR"/>
        </w:rPr>
        <w:t>ntereses resarcitorios de las deudas de capital</w:t>
      </w:r>
      <w:r w:rsidRPr="00837CBF">
        <w:rPr>
          <w:lang w:val="es-AR"/>
        </w:rPr>
        <w:t xml:space="preserve"> que no estén incluidas en el presente régimen;</w:t>
      </w:r>
    </w:p>
    <w:p w:rsidR="00837CBF" w:rsidRPr="00837CBF" w:rsidRDefault="00837CBF" w:rsidP="009C7FA4">
      <w:pPr>
        <w:pStyle w:val="Textoindependiente"/>
        <w:widowControl w:val="0"/>
        <w:tabs>
          <w:tab w:val="left" w:pos="9356"/>
        </w:tabs>
        <w:ind w:right="-568"/>
        <w:rPr>
          <w:lang w:val="es-AR"/>
        </w:rPr>
      </w:pPr>
    </w:p>
    <w:p w:rsidR="00714BE5" w:rsidRPr="00837CBF" w:rsidRDefault="00714BE5" w:rsidP="009C7FA4">
      <w:pPr>
        <w:pStyle w:val="Textoindependiente"/>
        <w:widowControl w:val="0"/>
        <w:numPr>
          <w:ilvl w:val="0"/>
          <w:numId w:val="5"/>
        </w:numPr>
        <w:tabs>
          <w:tab w:val="left" w:pos="9356"/>
        </w:tabs>
        <w:ind w:right="-568"/>
        <w:rPr>
          <w:lang w:val="es-AR"/>
        </w:rPr>
      </w:pPr>
      <w:r w:rsidRPr="00837CBF">
        <w:rPr>
          <w:lang w:val="es-AR"/>
        </w:rPr>
        <w:t>Intereses punitorios generados por todo concepto</w:t>
      </w:r>
      <w:r w:rsidR="00722235">
        <w:rPr>
          <w:lang w:val="es-AR"/>
        </w:rPr>
        <w:t>.</w:t>
      </w:r>
    </w:p>
    <w:p w:rsidR="00D3742B" w:rsidRDefault="00D3742B" w:rsidP="009C7FA4">
      <w:pPr>
        <w:pStyle w:val="Textoindependiente"/>
        <w:widowControl w:val="0"/>
        <w:tabs>
          <w:tab w:val="left" w:pos="9356"/>
        </w:tabs>
        <w:ind w:right="-568"/>
        <w:rPr>
          <w:b/>
          <w:i/>
          <w:highlight w:val="yellow"/>
          <w:u w:val="single"/>
          <w:lang w:val="es-AR"/>
        </w:rPr>
      </w:pPr>
    </w:p>
    <w:p w:rsidR="009C7FA4" w:rsidRPr="00EF57C1" w:rsidRDefault="009C7FA4" w:rsidP="009C7FA4">
      <w:pPr>
        <w:pStyle w:val="Textoindependiente"/>
        <w:widowControl w:val="0"/>
        <w:tabs>
          <w:tab w:val="left" w:pos="9356"/>
        </w:tabs>
        <w:ind w:right="-568"/>
        <w:rPr>
          <w:highlight w:val="yellow"/>
          <w:lang w:val="es-AR"/>
        </w:rPr>
      </w:pPr>
    </w:p>
    <w:p w:rsidR="009C7FA4" w:rsidRPr="00677852" w:rsidRDefault="009C7FA4" w:rsidP="009C7FA4">
      <w:pPr>
        <w:pStyle w:val="Textoindependiente"/>
        <w:widowControl w:val="0"/>
        <w:numPr>
          <w:ilvl w:val="0"/>
          <w:numId w:val="1"/>
        </w:numPr>
        <w:tabs>
          <w:tab w:val="left" w:pos="709"/>
        </w:tabs>
        <w:ind w:right="-568"/>
        <w:rPr>
          <w:b/>
          <w:u w:val="single"/>
          <w:lang w:val="es-AR"/>
        </w:rPr>
      </w:pPr>
      <w:r w:rsidRPr="00677852">
        <w:rPr>
          <w:b/>
          <w:u w:val="single"/>
          <w:lang w:val="es-AR"/>
        </w:rPr>
        <w:t>Condiciones de los planes de facilidades de pago</w:t>
      </w:r>
    </w:p>
    <w:p w:rsidR="009C7FA4" w:rsidRPr="00677852" w:rsidRDefault="009C7FA4" w:rsidP="009C7FA4">
      <w:pPr>
        <w:pStyle w:val="Textoindependiente"/>
        <w:widowControl w:val="0"/>
        <w:tabs>
          <w:tab w:val="left" w:pos="9356"/>
        </w:tabs>
        <w:ind w:right="-568"/>
        <w:rPr>
          <w:lang w:val="es-AR"/>
        </w:rPr>
      </w:pPr>
    </w:p>
    <w:p w:rsidR="009C7FA4" w:rsidRPr="00677852" w:rsidRDefault="009C7FA4" w:rsidP="009C7FA4">
      <w:pPr>
        <w:pStyle w:val="Textoindependiente"/>
        <w:widowControl w:val="0"/>
        <w:tabs>
          <w:tab w:val="left" w:pos="9356"/>
        </w:tabs>
        <w:ind w:right="-568"/>
        <w:rPr>
          <w:lang w:val="es-AR"/>
        </w:rPr>
      </w:pPr>
      <w:r w:rsidRPr="00677852">
        <w:rPr>
          <w:lang w:val="es-AR"/>
        </w:rPr>
        <w:t>Las condiciones del plan variarán de ac</w:t>
      </w:r>
      <w:r w:rsidR="005C6853">
        <w:rPr>
          <w:lang w:val="es-AR"/>
        </w:rPr>
        <w:t>uerdo a los siguientes aspectos considerados</w:t>
      </w:r>
      <w:r w:rsidRPr="00677852">
        <w:rPr>
          <w:lang w:val="es-AR"/>
        </w:rPr>
        <w:t xml:space="preserve"> al momento de la consolidación: </w:t>
      </w:r>
    </w:p>
    <w:p w:rsidR="009C7FA4" w:rsidRPr="00677852" w:rsidRDefault="009C7FA4" w:rsidP="009C7FA4">
      <w:pPr>
        <w:pStyle w:val="Textoindependiente"/>
        <w:widowControl w:val="0"/>
        <w:tabs>
          <w:tab w:val="left" w:pos="9356"/>
        </w:tabs>
        <w:ind w:left="426" w:right="-568"/>
        <w:rPr>
          <w:i/>
          <w:u w:val="single"/>
          <w:lang w:val="es-AR"/>
        </w:rPr>
      </w:pPr>
    </w:p>
    <w:p w:rsidR="009C7FA4" w:rsidRPr="00677852" w:rsidRDefault="009C7FA4" w:rsidP="009C7FA4">
      <w:pPr>
        <w:pStyle w:val="Textoindependiente"/>
        <w:widowControl w:val="0"/>
        <w:numPr>
          <w:ilvl w:val="0"/>
          <w:numId w:val="12"/>
        </w:numPr>
        <w:tabs>
          <w:tab w:val="left" w:pos="9356"/>
        </w:tabs>
        <w:ind w:left="709" w:right="-568" w:hanging="357"/>
        <w:rPr>
          <w:u w:val="single"/>
          <w:lang w:val="es-AR"/>
        </w:rPr>
      </w:pPr>
      <w:r w:rsidRPr="00677852">
        <w:rPr>
          <w:lang w:val="es-AR"/>
        </w:rPr>
        <w:t>El perfil de cumplimiento</w:t>
      </w:r>
      <w:r w:rsidR="005C6853">
        <w:rPr>
          <w:lang w:val="es-AR"/>
        </w:rPr>
        <w:t xml:space="preserve"> del contribuyente </w:t>
      </w:r>
      <w:r w:rsidRPr="00677852">
        <w:rPr>
          <w:lang w:val="es-AR"/>
        </w:rPr>
        <w:t>determinará la cantidad máxima de planes admisibles, la cantidad máxima de cuotas y tasa de financiamiento al que podrá acceder. Dicho perfil se establecerá de acuerdo a la conducta fiscal registrada en el Sistema de Perfil de Riesgo (SIPER):</w:t>
      </w:r>
    </w:p>
    <w:p w:rsidR="009C7FA4" w:rsidRPr="00677852" w:rsidRDefault="009C7FA4" w:rsidP="009C7FA4">
      <w:pPr>
        <w:pStyle w:val="Textoindependiente"/>
        <w:widowControl w:val="0"/>
        <w:tabs>
          <w:tab w:val="left" w:pos="9356"/>
        </w:tabs>
        <w:ind w:right="-568"/>
        <w:rPr>
          <w:lang w:val="es-AR"/>
        </w:rPr>
      </w:pPr>
    </w:p>
    <w:p w:rsidR="009C7FA4" w:rsidRPr="00677852" w:rsidRDefault="009C7FA4" w:rsidP="009C7FA4">
      <w:pPr>
        <w:pStyle w:val="Textoindependiente"/>
        <w:widowControl w:val="0"/>
        <w:numPr>
          <w:ilvl w:val="1"/>
          <w:numId w:val="5"/>
        </w:numPr>
        <w:tabs>
          <w:tab w:val="left" w:pos="9356"/>
        </w:tabs>
        <w:ind w:right="-568"/>
        <w:rPr>
          <w:u w:val="single"/>
          <w:lang w:val="es-AR"/>
        </w:rPr>
      </w:pPr>
      <w:r w:rsidRPr="00677852">
        <w:rPr>
          <w:lang w:val="es-AR"/>
        </w:rPr>
        <w:lastRenderedPageBreak/>
        <w:t>Perfil de Cumplimiento I: Categorías A y B del SIPER;</w:t>
      </w:r>
    </w:p>
    <w:p w:rsidR="009C7FA4" w:rsidRPr="00677852" w:rsidRDefault="009C7FA4" w:rsidP="009C7FA4">
      <w:pPr>
        <w:pStyle w:val="Textoindependiente"/>
        <w:widowControl w:val="0"/>
        <w:numPr>
          <w:ilvl w:val="1"/>
          <w:numId w:val="5"/>
        </w:numPr>
        <w:tabs>
          <w:tab w:val="left" w:pos="9356"/>
        </w:tabs>
        <w:ind w:right="-568"/>
        <w:rPr>
          <w:u w:val="single"/>
          <w:lang w:val="es-AR"/>
        </w:rPr>
      </w:pPr>
      <w:r w:rsidRPr="00677852">
        <w:rPr>
          <w:lang w:val="es-AR"/>
        </w:rPr>
        <w:t>Perfil de Cumplimiento II: Categorías C y D del SIPER;</w:t>
      </w:r>
    </w:p>
    <w:p w:rsidR="009C7FA4" w:rsidRPr="00677852" w:rsidRDefault="009C7FA4" w:rsidP="009C7FA4">
      <w:pPr>
        <w:pStyle w:val="Textoindependiente"/>
        <w:widowControl w:val="0"/>
        <w:numPr>
          <w:ilvl w:val="1"/>
          <w:numId w:val="5"/>
        </w:numPr>
        <w:tabs>
          <w:tab w:val="left" w:pos="9356"/>
        </w:tabs>
        <w:ind w:right="-568"/>
        <w:rPr>
          <w:u w:val="single"/>
          <w:lang w:val="es-AR"/>
        </w:rPr>
      </w:pPr>
      <w:r w:rsidRPr="00677852">
        <w:rPr>
          <w:lang w:val="es-AR"/>
        </w:rPr>
        <w:t>Perfil de Cumplimiento II: Categorías E del SIPER;</w:t>
      </w:r>
    </w:p>
    <w:p w:rsidR="009C7FA4" w:rsidRPr="00D853B3" w:rsidRDefault="009C7FA4" w:rsidP="009C7FA4">
      <w:pPr>
        <w:pStyle w:val="Textoindependiente"/>
        <w:widowControl w:val="0"/>
        <w:tabs>
          <w:tab w:val="left" w:pos="9356"/>
        </w:tabs>
        <w:ind w:left="1080" w:right="-568"/>
        <w:rPr>
          <w:highlight w:val="yellow"/>
          <w:u w:val="single"/>
          <w:lang w:val="es-AR"/>
        </w:rPr>
      </w:pPr>
    </w:p>
    <w:p w:rsidR="009C7FA4" w:rsidRPr="00677852" w:rsidRDefault="005C6853" w:rsidP="009C7FA4">
      <w:pPr>
        <w:pStyle w:val="Textoindependiente"/>
        <w:widowControl w:val="0"/>
        <w:numPr>
          <w:ilvl w:val="0"/>
          <w:numId w:val="12"/>
        </w:numPr>
        <w:tabs>
          <w:tab w:val="left" w:pos="9356"/>
        </w:tabs>
        <w:ind w:left="709" w:right="-568" w:hanging="357"/>
        <w:rPr>
          <w:u w:val="single"/>
          <w:lang w:val="es-AR"/>
        </w:rPr>
      </w:pPr>
      <w:r>
        <w:rPr>
          <w:lang w:val="es-AR"/>
        </w:rPr>
        <w:t>La c</w:t>
      </w:r>
      <w:r w:rsidR="009C7FA4" w:rsidRPr="00677852">
        <w:rPr>
          <w:lang w:val="es-AR"/>
        </w:rPr>
        <w:t xml:space="preserve">aracterización del contribuyente en </w:t>
      </w:r>
      <w:r>
        <w:rPr>
          <w:lang w:val="es-AR"/>
        </w:rPr>
        <w:t xml:space="preserve">“Sistema </w:t>
      </w:r>
      <w:proofErr w:type="spellStart"/>
      <w:r>
        <w:rPr>
          <w:lang w:val="es-AR"/>
        </w:rPr>
        <w:t>Registral”</w:t>
      </w:r>
      <w:r w:rsidR="009C7FA4" w:rsidRPr="00677852">
        <w:rPr>
          <w:lang w:val="es-AR"/>
        </w:rPr>
        <w:t>de</w:t>
      </w:r>
      <w:proofErr w:type="spellEnd"/>
      <w:r w:rsidR="009C7FA4" w:rsidRPr="00677852">
        <w:rPr>
          <w:lang w:val="es-AR"/>
        </w:rPr>
        <w:t xml:space="preserve"> acuerdo con la siguiente distinción:</w:t>
      </w:r>
    </w:p>
    <w:p w:rsidR="009C7FA4" w:rsidRPr="00677852" w:rsidRDefault="009C7FA4" w:rsidP="009C7FA4">
      <w:pPr>
        <w:pStyle w:val="Textoindependiente"/>
        <w:widowControl w:val="0"/>
        <w:tabs>
          <w:tab w:val="left" w:pos="9356"/>
        </w:tabs>
        <w:ind w:right="-568"/>
        <w:rPr>
          <w:u w:val="single"/>
          <w:lang w:val="es-AR"/>
        </w:rPr>
      </w:pPr>
    </w:p>
    <w:p w:rsidR="009C7FA4" w:rsidRPr="00677852" w:rsidRDefault="009C7FA4" w:rsidP="009C7FA4">
      <w:pPr>
        <w:pStyle w:val="Textoindependiente"/>
        <w:widowControl w:val="0"/>
        <w:numPr>
          <w:ilvl w:val="0"/>
          <w:numId w:val="13"/>
        </w:numPr>
        <w:tabs>
          <w:tab w:val="left" w:pos="9356"/>
        </w:tabs>
        <w:ind w:left="1418" w:right="-568" w:hanging="357"/>
        <w:rPr>
          <w:u w:val="single"/>
          <w:lang w:val="es-AR"/>
        </w:rPr>
      </w:pPr>
      <w:r w:rsidRPr="00677852">
        <w:rPr>
          <w:lang w:val="es-AR"/>
        </w:rPr>
        <w:t xml:space="preserve">Micro y pequeñas empresas inscriptas en el </w:t>
      </w:r>
      <w:r w:rsidR="005C6853">
        <w:rPr>
          <w:lang w:val="es-AR"/>
        </w:rPr>
        <w:t xml:space="preserve">“Registro de empresas </w:t>
      </w:r>
      <w:proofErr w:type="spellStart"/>
      <w:r w:rsidR="005C6853">
        <w:rPr>
          <w:lang w:val="es-AR"/>
        </w:rPr>
        <w:t>MiPymes</w:t>
      </w:r>
      <w:proofErr w:type="spellEnd"/>
      <w:r w:rsidR="005C6853">
        <w:rPr>
          <w:lang w:val="es-AR"/>
        </w:rPr>
        <w:t>”.</w:t>
      </w:r>
    </w:p>
    <w:p w:rsidR="009C7FA4" w:rsidRPr="00677852" w:rsidRDefault="009C7FA4" w:rsidP="009C7FA4">
      <w:pPr>
        <w:pStyle w:val="Textoindependiente"/>
        <w:widowControl w:val="0"/>
        <w:numPr>
          <w:ilvl w:val="0"/>
          <w:numId w:val="13"/>
        </w:numPr>
        <w:tabs>
          <w:tab w:val="left" w:pos="9356"/>
        </w:tabs>
        <w:ind w:left="1418" w:right="-568" w:hanging="357"/>
        <w:rPr>
          <w:u w:val="single"/>
          <w:lang w:val="es-AR"/>
        </w:rPr>
      </w:pPr>
      <w:r w:rsidRPr="00677852">
        <w:rPr>
          <w:lang w:val="es-AR"/>
        </w:rPr>
        <w:t xml:space="preserve">Sujetos alcanzados por el estado de emergencia, que se encuentren categorizados cómo </w:t>
      </w:r>
      <w:r w:rsidR="005C6853">
        <w:rPr>
          <w:lang w:val="es-AR"/>
        </w:rPr>
        <w:t xml:space="preserve">tal y así también como </w:t>
      </w:r>
      <w:r w:rsidRPr="00677852">
        <w:rPr>
          <w:lang w:val="es-AR"/>
        </w:rPr>
        <w:t>Pymes.</w:t>
      </w:r>
    </w:p>
    <w:p w:rsidR="009C7FA4" w:rsidRPr="00677852" w:rsidRDefault="009C7FA4" w:rsidP="009C7FA4">
      <w:pPr>
        <w:pStyle w:val="Textoindependiente"/>
        <w:widowControl w:val="0"/>
        <w:numPr>
          <w:ilvl w:val="0"/>
          <w:numId w:val="13"/>
        </w:numPr>
        <w:tabs>
          <w:tab w:val="left" w:pos="9356"/>
        </w:tabs>
        <w:ind w:left="1418" w:right="-568" w:hanging="357"/>
        <w:rPr>
          <w:u w:val="single"/>
          <w:lang w:val="es-AR"/>
        </w:rPr>
      </w:pPr>
      <w:r w:rsidRPr="00677852">
        <w:rPr>
          <w:lang w:val="es-AR"/>
        </w:rPr>
        <w:t>Sujetos mencionados en el punto anterior que no se encuentren caracterizad</w:t>
      </w:r>
      <w:r w:rsidR="005C6853">
        <w:rPr>
          <w:lang w:val="es-AR"/>
        </w:rPr>
        <w:t>os</w:t>
      </w:r>
      <w:r w:rsidRPr="00677852">
        <w:rPr>
          <w:lang w:val="es-AR"/>
        </w:rPr>
        <w:t xml:space="preserve"> como Pyme.</w:t>
      </w:r>
    </w:p>
    <w:p w:rsidR="009C7FA4" w:rsidRPr="000E4EC1" w:rsidRDefault="009C7FA4" w:rsidP="009C7FA4">
      <w:pPr>
        <w:pStyle w:val="Textoindependiente"/>
        <w:widowControl w:val="0"/>
        <w:numPr>
          <w:ilvl w:val="0"/>
          <w:numId w:val="13"/>
        </w:numPr>
        <w:tabs>
          <w:tab w:val="left" w:pos="9356"/>
        </w:tabs>
        <w:ind w:left="1418" w:right="-568" w:hanging="357"/>
        <w:rPr>
          <w:u w:val="single"/>
          <w:lang w:val="es-AR"/>
        </w:rPr>
      </w:pPr>
      <w:r w:rsidRPr="00677852">
        <w:rPr>
          <w:lang w:val="es-AR"/>
        </w:rPr>
        <w:t xml:space="preserve">Restantes sujetos que no cumplan con las condiciones indicadas en los </w:t>
      </w:r>
      <w:r w:rsidRPr="000E4EC1">
        <w:rPr>
          <w:lang w:val="es-AR"/>
        </w:rPr>
        <w:t xml:space="preserve">puntos anteriores. </w:t>
      </w:r>
    </w:p>
    <w:p w:rsidR="009C7FA4" w:rsidRPr="000E4EC1" w:rsidRDefault="009C7FA4" w:rsidP="009C7FA4">
      <w:pPr>
        <w:pStyle w:val="Textoindependiente"/>
        <w:widowControl w:val="0"/>
        <w:tabs>
          <w:tab w:val="left" w:pos="9356"/>
        </w:tabs>
        <w:ind w:left="1418" w:right="-568"/>
        <w:rPr>
          <w:u w:val="single"/>
          <w:lang w:val="es-AR"/>
        </w:rPr>
      </w:pPr>
    </w:p>
    <w:p w:rsidR="009C7FA4" w:rsidRPr="000E4EC1" w:rsidRDefault="005C6853" w:rsidP="009C7FA4">
      <w:pPr>
        <w:pStyle w:val="Textoindependiente"/>
        <w:widowControl w:val="0"/>
        <w:numPr>
          <w:ilvl w:val="0"/>
          <w:numId w:val="12"/>
        </w:numPr>
        <w:tabs>
          <w:tab w:val="left" w:pos="9356"/>
        </w:tabs>
        <w:ind w:left="709" w:right="-568" w:hanging="426"/>
        <w:rPr>
          <w:u w:val="single"/>
          <w:lang w:val="es-AR"/>
        </w:rPr>
      </w:pPr>
      <w:r>
        <w:rPr>
          <w:lang w:val="es-AR"/>
        </w:rPr>
        <w:t>Tipo de deuda a consolidar</w:t>
      </w:r>
    </w:p>
    <w:p w:rsidR="009C7FA4" w:rsidRPr="000E4EC1" w:rsidRDefault="009C7FA4" w:rsidP="009C7FA4">
      <w:pPr>
        <w:pStyle w:val="Textoindependiente"/>
        <w:widowControl w:val="0"/>
        <w:tabs>
          <w:tab w:val="left" w:pos="9356"/>
        </w:tabs>
        <w:ind w:left="283" w:right="-568"/>
        <w:rPr>
          <w:u w:val="single"/>
          <w:lang w:val="es-AR"/>
        </w:rPr>
      </w:pPr>
    </w:p>
    <w:p w:rsidR="009C7FA4" w:rsidRPr="000E4EC1" w:rsidRDefault="009C7FA4" w:rsidP="009C7FA4">
      <w:pPr>
        <w:pStyle w:val="Textoindependiente"/>
        <w:widowControl w:val="0"/>
        <w:numPr>
          <w:ilvl w:val="0"/>
          <w:numId w:val="12"/>
        </w:numPr>
        <w:tabs>
          <w:tab w:val="left" w:pos="9356"/>
        </w:tabs>
        <w:ind w:left="709" w:right="-568" w:hanging="426"/>
        <w:rPr>
          <w:u w:val="single"/>
          <w:lang w:val="es-AR"/>
        </w:rPr>
      </w:pPr>
      <w:r w:rsidRPr="000E4EC1">
        <w:rPr>
          <w:lang w:val="es-AR"/>
        </w:rPr>
        <w:t>La tasa de financiación, la cual se publicarán periódicamente en el sitio web de la AFIP.</w:t>
      </w:r>
    </w:p>
    <w:p w:rsidR="009C7FA4" w:rsidRPr="000E4EC1" w:rsidRDefault="009C7FA4" w:rsidP="009C7FA4">
      <w:pPr>
        <w:pStyle w:val="Textoindependiente"/>
        <w:widowControl w:val="0"/>
        <w:tabs>
          <w:tab w:val="left" w:pos="9356"/>
        </w:tabs>
        <w:ind w:right="-568"/>
        <w:rPr>
          <w:u w:val="single"/>
          <w:lang w:val="es-AR"/>
        </w:rPr>
      </w:pPr>
      <w:r w:rsidRPr="000E4EC1">
        <w:rPr>
          <w:lang w:val="es-AR"/>
        </w:rPr>
        <w:t xml:space="preserve"> </w:t>
      </w:r>
    </w:p>
    <w:p w:rsidR="009C7FA4" w:rsidRPr="000E4EC1" w:rsidRDefault="009C7FA4" w:rsidP="009C7FA4">
      <w:pPr>
        <w:pStyle w:val="Textoindependiente"/>
        <w:widowControl w:val="0"/>
        <w:numPr>
          <w:ilvl w:val="0"/>
          <w:numId w:val="12"/>
        </w:numPr>
        <w:tabs>
          <w:tab w:val="left" w:pos="9356"/>
        </w:tabs>
        <w:ind w:left="709" w:right="-568" w:hanging="426"/>
        <w:rPr>
          <w:u w:val="single"/>
          <w:lang w:val="es-AR"/>
        </w:rPr>
      </w:pPr>
      <w:r w:rsidRPr="000E4EC1">
        <w:rPr>
          <w:lang w:val="es-AR"/>
        </w:rPr>
        <w:t>Evaluación de los ingresos del contribuyente.</w:t>
      </w:r>
    </w:p>
    <w:p w:rsidR="009C7FA4" w:rsidRPr="000E4EC1" w:rsidRDefault="009C7FA4" w:rsidP="009C7FA4">
      <w:pPr>
        <w:pStyle w:val="Textoindependiente"/>
        <w:widowControl w:val="0"/>
        <w:tabs>
          <w:tab w:val="left" w:pos="9356"/>
        </w:tabs>
        <w:ind w:right="-568"/>
        <w:rPr>
          <w:u w:val="single"/>
          <w:lang w:val="es-AR"/>
        </w:rPr>
      </w:pPr>
    </w:p>
    <w:p w:rsidR="009C7FA4" w:rsidRPr="000E4EC1" w:rsidRDefault="009C7FA4" w:rsidP="009C7FA4">
      <w:pPr>
        <w:pStyle w:val="Textoindependiente"/>
        <w:widowControl w:val="0"/>
        <w:numPr>
          <w:ilvl w:val="0"/>
          <w:numId w:val="12"/>
        </w:numPr>
        <w:tabs>
          <w:tab w:val="left" w:pos="9356"/>
        </w:tabs>
        <w:ind w:left="709" w:right="-568" w:hanging="426"/>
        <w:rPr>
          <w:u w:val="single"/>
          <w:lang w:val="es-AR"/>
        </w:rPr>
      </w:pPr>
      <w:r w:rsidRPr="000E4EC1">
        <w:rPr>
          <w:lang w:val="es-AR"/>
        </w:rPr>
        <w:t xml:space="preserve">Respecto de los planes de facilidades correspondientes al “Resto de los contribuyentes sin garantía” se distinguirán en función al monto de la deuda consolidada equivalente hasta 41.000 unidades de valor adquisitivo (UVA) o superior. Se considerará a tal fin la valuación vigente la misma para el día 20 del mes inmediato anterior al correspondiente a la consolidación del plan. </w:t>
      </w:r>
    </w:p>
    <w:p w:rsidR="009C7FA4" w:rsidRPr="000E4EC1" w:rsidRDefault="009C7FA4" w:rsidP="009C7FA4">
      <w:pPr>
        <w:pStyle w:val="Prrafodelista"/>
        <w:ind w:right="-568"/>
        <w:rPr>
          <w:u w:val="single"/>
          <w:lang w:val="es-AR"/>
        </w:rPr>
      </w:pPr>
    </w:p>
    <w:p w:rsidR="009C7FA4" w:rsidRPr="00317070" w:rsidRDefault="009C7FA4" w:rsidP="009C7FA4">
      <w:pPr>
        <w:pStyle w:val="Textoindependiente"/>
        <w:widowControl w:val="0"/>
        <w:numPr>
          <w:ilvl w:val="0"/>
          <w:numId w:val="12"/>
        </w:numPr>
        <w:tabs>
          <w:tab w:val="left" w:pos="9356"/>
        </w:tabs>
        <w:ind w:left="709" w:right="-568" w:hanging="426"/>
        <w:rPr>
          <w:u w:val="single"/>
          <w:lang w:val="es-AR"/>
        </w:rPr>
      </w:pPr>
      <w:r w:rsidRPr="000E4EC1">
        <w:rPr>
          <w:lang w:val="es-AR"/>
        </w:rPr>
        <w:t xml:space="preserve">Las obligaciones correspondientes a los sujetos alcanzados por el estado de emergencia. </w:t>
      </w:r>
    </w:p>
    <w:p w:rsidR="009C7FA4" w:rsidRDefault="009C7FA4" w:rsidP="009C7FA4">
      <w:pPr>
        <w:pStyle w:val="Prrafodelista"/>
        <w:ind w:right="-568"/>
        <w:rPr>
          <w:u w:val="single"/>
          <w:lang w:val="es-AR"/>
        </w:rPr>
      </w:pPr>
    </w:p>
    <w:p w:rsidR="009C7FA4" w:rsidRDefault="009C7FA4" w:rsidP="009C7FA4">
      <w:pPr>
        <w:pStyle w:val="Prrafodelista"/>
        <w:ind w:right="-568"/>
        <w:rPr>
          <w:u w:val="single"/>
          <w:lang w:val="es-AR"/>
        </w:rPr>
      </w:pPr>
    </w:p>
    <w:p w:rsidR="009C7FA4" w:rsidRPr="00317070" w:rsidRDefault="009C7FA4" w:rsidP="009C7FA4">
      <w:pPr>
        <w:pStyle w:val="Textoindependiente"/>
        <w:widowControl w:val="0"/>
        <w:tabs>
          <w:tab w:val="left" w:pos="9356"/>
        </w:tabs>
        <w:ind w:right="-568"/>
        <w:rPr>
          <w:lang w:val="es-AR"/>
        </w:rPr>
      </w:pPr>
      <w:r w:rsidRPr="00317070">
        <w:rPr>
          <w:lang w:val="es-AR"/>
        </w:rPr>
        <w:t xml:space="preserve">A los fines de la adhesión </w:t>
      </w:r>
      <w:r w:rsidR="005C6853">
        <w:rPr>
          <w:lang w:val="es-AR"/>
        </w:rPr>
        <w:t xml:space="preserve">del plan </w:t>
      </w:r>
      <w:r w:rsidRPr="00317070">
        <w:rPr>
          <w:lang w:val="es-AR"/>
        </w:rPr>
        <w:t xml:space="preserve"> se considerará el 25% del promedio mensual de ingresos del contribuyente. A tal efecto se tendrán en cuenta los ingresos consignados en las declaraciones juradas del IVA de los últimos 12 períodos fiscales vencidos</w:t>
      </w:r>
      <w:r w:rsidR="005C6853">
        <w:rPr>
          <w:lang w:val="es-AR"/>
        </w:rPr>
        <w:t xml:space="preserve"> contados desde el mes inmediato anterior al de adhesión al plan.</w:t>
      </w:r>
      <w:r w:rsidRPr="00317070">
        <w:rPr>
          <w:lang w:val="es-AR"/>
        </w:rPr>
        <w:t xml:space="preserve"> En el supuesto de tratarse de contribuyentes inscriptos en dicho impuesto dentro de los últimos 12 meses  se considerará el promedio tomando en cuenta la cantidad de períodos fiscales que presentó.</w:t>
      </w:r>
    </w:p>
    <w:p w:rsidR="009C7FA4" w:rsidRDefault="009C7FA4" w:rsidP="009C7FA4">
      <w:pPr>
        <w:pStyle w:val="Textoindependiente"/>
        <w:widowControl w:val="0"/>
        <w:tabs>
          <w:tab w:val="left" w:pos="9356"/>
        </w:tabs>
        <w:ind w:right="-568"/>
        <w:rPr>
          <w:highlight w:val="yellow"/>
          <w:lang w:val="es-AR"/>
        </w:rPr>
      </w:pPr>
    </w:p>
    <w:p w:rsidR="009C7FA4" w:rsidRPr="002852D8" w:rsidRDefault="009C7FA4" w:rsidP="009C7FA4">
      <w:pPr>
        <w:pStyle w:val="Textoindependiente"/>
        <w:widowControl w:val="0"/>
        <w:tabs>
          <w:tab w:val="left" w:pos="9356"/>
        </w:tabs>
        <w:ind w:right="-568"/>
        <w:rPr>
          <w:lang w:val="es-AR"/>
        </w:rPr>
      </w:pPr>
      <w:r w:rsidRPr="002852D8">
        <w:rPr>
          <w:lang w:val="es-AR"/>
        </w:rPr>
        <w:t xml:space="preserve">En caso de no registrar ventas o no ser inscripto en el </w:t>
      </w:r>
      <w:r w:rsidR="005C6853">
        <w:rPr>
          <w:lang w:val="es-AR"/>
        </w:rPr>
        <w:t>I</w:t>
      </w:r>
      <w:r w:rsidRPr="002852D8">
        <w:rPr>
          <w:lang w:val="es-AR"/>
        </w:rPr>
        <w:t xml:space="preserve">mpuesto al </w:t>
      </w:r>
      <w:r w:rsidR="005C6853">
        <w:rPr>
          <w:lang w:val="es-AR"/>
        </w:rPr>
        <w:t>V</w:t>
      </w:r>
      <w:r w:rsidRPr="002852D8">
        <w:rPr>
          <w:lang w:val="es-AR"/>
        </w:rPr>
        <w:t xml:space="preserve">alor </w:t>
      </w:r>
      <w:r w:rsidR="005C6853">
        <w:rPr>
          <w:lang w:val="es-AR"/>
        </w:rPr>
        <w:t>A</w:t>
      </w:r>
      <w:r w:rsidRPr="002852D8">
        <w:rPr>
          <w:lang w:val="es-AR"/>
        </w:rPr>
        <w:t xml:space="preserve">gregado se tomará en cuenta los ingresos declarados en el </w:t>
      </w:r>
      <w:r w:rsidR="005C6853">
        <w:rPr>
          <w:lang w:val="es-AR"/>
        </w:rPr>
        <w:t>I</w:t>
      </w:r>
      <w:r w:rsidRPr="002852D8">
        <w:rPr>
          <w:lang w:val="es-AR"/>
        </w:rPr>
        <w:t xml:space="preserve">mpuesto a las </w:t>
      </w:r>
      <w:r w:rsidR="005C6853">
        <w:rPr>
          <w:lang w:val="es-AR"/>
        </w:rPr>
        <w:t>G</w:t>
      </w:r>
      <w:r w:rsidRPr="002852D8">
        <w:rPr>
          <w:lang w:val="es-AR"/>
        </w:rPr>
        <w:t>anancias del último período fiscal vencido.</w:t>
      </w:r>
    </w:p>
    <w:p w:rsidR="009C7FA4" w:rsidRPr="002852D8" w:rsidRDefault="009C7FA4" w:rsidP="009C7FA4">
      <w:pPr>
        <w:pStyle w:val="Textoindependiente"/>
        <w:widowControl w:val="0"/>
        <w:tabs>
          <w:tab w:val="left" w:pos="9356"/>
        </w:tabs>
        <w:ind w:right="-568"/>
        <w:rPr>
          <w:lang w:val="es-AR"/>
        </w:rPr>
      </w:pPr>
    </w:p>
    <w:p w:rsidR="009C7FA4" w:rsidRPr="002852D8" w:rsidRDefault="009C7FA4" w:rsidP="009C7FA4">
      <w:pPr>
        <w:pStyle w:val="Textoindependiente"/>
        <w:widowControl w:val="0"/>
        <w:tabs>
          <w:tab w:val="left" w:pos="9356"/>
        </w:tabs>
        <w:ind w:right="-568"/>
        <w:rPr>
          <w:lang w:val="es-AR"/>
        </w:rPr>
      </w:pPr>
      <w:r w:rsidRPr="002852D8">
        <w:rPr>
          <w:lang w:val="es-AR"/>
        </w:rPr>
        <w:t xml:space="preserve">En caso de </w:t>
      </w:r>
      <w:r w:rsidR="005C6853">
        <w:rPr>
          <w:lang w:val="es-AR"/>
        </w:rPr>
        <w:t xml:space="preserve">estar </w:t>
      </w:r>
      <w:r w:rsidRPr="002852D8">
        <w:rPr>
          <w:lang w:val="es-AR"/>
        </w:rPr>
        <w:t>inscrip</w:t>
      </w:r>
      <w:r w:rsidR="005C6853">
        <w:rPr>
          <w:lang w:val="es-AR"/>
        </w:rPr>
        <w:t>to</w:t>
      </w:r>
      <w:r w:rsidRPr="002852D8">
        <w:rPr>
          <w:lang w:val="es-AR"/>
        </w:rPr>
        <w:t xml:space="preserve"> </w:t>
      </w:r>
      <w:r w:rsidR="005C6853">
        <w:rPr>
          <w:lang w:val="es-AR"/>
        </w:rPr>
        <w:t>bajo el régimen de</w:t>
      </w:r>
      <w:r w:rsidRPr="002852D8">
        <w:rPr>
          <w:lang w:val="es-AR"/>
        </w:rPr>
        <w:t xml:space="preserve"> </w:t>
      </w:r>
      <w:proofErr w:type="spellStart"/>
      <w:r>
        <w:rPr>
          <w:lang w:val="es-AR"/>
        </w:rPr>
        <w:t>Monotributo</w:t>
      </w:r>
      <w:proofErr w:type="spellEnd"/>
      <w:r w:rsidRPr="002852D8">
        <w:rPr>
          <w:lang w:val="es-AR"/>
        </w:rPr>
        <w:t>, se considerará el promedio mensual de la facturación anual correspondiente a la categoría de revista.</w:t>
      </w:r>
    </w:p>
    <w:p w:rsidR="009C7FA4" w:rsidRPr="002852D8" w:rsidRDefault="009C7FA4" w:rsidP="009C7FA4">
      <w:pPr>
        <w:pStyle w:val="Textoindependiente"/>
        <w:widowControl w:val="0"/>
        <w:tabs>
          <w:tab w:val="left" w:pos="9356"/>
        </w:tabs>
        <w:ind w:right="-568"/>
        <w:rPr>
          <w:lang w:val="es-AR"/>
        </w:rPr>
      </w:pPr>
      <w:r w:rsidRPr="002852D8">
        <w:rPr>
          <w:lang w:val="es-AR"/>
        </w:rPr>
        <w:t xml:space="preserve">                    </w:t>
      </w:r>
    </w:p>
    <w:p w:rsidR="009C7FA4" w:rsidRPr="002852D8" w:rsidRDefault="009C7FA4" w:rsidP="009C7FA4">
      <w:pPr>
        <w:pStyle w:val="Textoindependiente"/>
        <w:widowControl w:val="0"/>
        <w:tabs>
          <w:tab w:val="left" w:pos="9356"/>
        </w:tabs>
        <w:ind w:right="-568"/>
        <w:rPr>
          <w:lang w:val="es-AR"/>
        </w:rPr>
      </w:pPr>
      <w:r w:rsidRPr="002852D8">
        <w:rPr>
          <w:lang w:val="es-AR"/>
        </w:rPr>
        <w:t>La administración Federal informara la admisibilidad mediante el sistema “Mis Facilidades”</w:t>
      </w:r>
    </w:p>
    <w:p w:rsidR="009C7FA4" w:rsidRPr="000E4EC1" w:rsidRDefault="009C7FA4" w:rsidP="009C7FA4">
      <w:pPr>
        <w:pStyle w:val="Textoindependiente"/>
        <w:widowControl w:val="0"/>
        <w:tabs>
          <w:tab w:val="left" w:pos="9356"/>
        </w:tabs>
        <w:ind w:left="709" w:right="-568"/>
        <w:rPr>
          <w:u w:val="single"/>
          <w:lang w:val="es-AR"/>
        </w:rPr>
      </w:pPr>
    </w:p>
    <w:p w:rsidR="009C7FA4" w:rsidRDefault="009C7FA4" w:rsidP="009C7FA4">
      <w:pPr>
        <w:pStyle w:val="Textoindependiente"/>
        <w:widowControl w:val="0"/>
        <w:tabs>
          <w:tab w:val="left" w:pos="9356"/>
        </w:tabs>
        <w:ind w:right="-568"/>
        <w:rPr>
          <w:b/>
          <w:i/>
          <w:u w:val="single"/>
          <w:lang w:val="es-AR"/>
        </w:rPr>
      </w:pPr>
    </w:p>
    <w:p w:rsidR="009C7FA4" w:rsidRDefault="009C7FA4" w:rsidP="009C7FA4">
      <w:pPr>
        <w:pStyle w:val="Textoindependiente"/>
        <w:widowControl w:val="0"/>
        <w:tabs>
          <w:tab w:val="left" w:pos="9356"/>
        </w:tabs>
        <w:ind w:right="-568"/>
        <w:rPr>
          <w:b/>
          <w:i/>
          <w:u w:val="single"/>
          <w:lang w:val="es-AR"/>
        </w:rPr>
      </w:pPr>
    </w:p>
    <w:p w:rsidR="002C0FD2" w:rsidRDefault="002C0FD2" w:rsidP="009C7FA4">
      <w:pPr>
        <w:pStyle w:val="Textoindependiente"/>
        <w:widowControl w:val="0"/>
        <w:tabs>
          <w:tab w:val="left" w:pos="9356"/>
        </w:tabs>
        <w:ind w:right="-568"/>
        <w:rPr>
          <w:b/>
          <w:i/>
          <w:u w:val="single"/>
          <w:lang w:val="es-AR"/>
        </w:rPr>
      </w:pPr>
    </w:p>
    <w:p w:rsidR="009C7FA4" w:rsidRPr="00EF57C1" w:rsidRDefault="009C7FA4" w:rsidP="009C7FA4">
      <w:pPr>
        <w:pStyle w:val="Textoindependiente"/>
        <w:widowControl w:val="0"/>
        <w:tabs>
          <w:tab w:val="left" w:pos="9356"/>
        </w:tabs>
        <w:ind w:right="-568"/>
        <w:rPr>
          <w:highlight w:val="yellow"/>
          <w:lang w:val="es-AR"/>
        </w:rPr>
      </w:pPr>
    </w:p>
    <w:p w:rsidR="009C7FA4" w:rsidRPr="005A72F1" w:rsidRDefault="009C7FA4" w:rsidP="009C7FA4">
      <w:pPr>
        <w:pStyle w:val="Textoindependiente"/>
        <w:widowControl w:val="0"/>
        <w:numPr>
          <w:ilvl w:val="0"/>
          <w:numId w:val="1"/>
        </w:numPr>
        <w:tabs>
          <w:tab w:val="left" w:pos="9356"/>
        </w:tabs>
        <w:ind w:right="-568"/>
        <w:rPr>
          <w:b/>
          <w:u w:val="single"/>
          <w:lang w:val="es-AR"/>
        </w:rPr>
      </w:pPr>
      <w:r w:rsidRPr="005A72F1">
        <w:rPr>
          <w:b/>
          <w:u w:val="single"/>
          <w:lang w:val="es-AR"/>
        </w:rPr>
        <w:t>Constitución de Garantía</w:t>
      </w:r>
    </w:p>
    <w:p w:rsidR="009C7FA4" w:rsidRPr="005A72F1" w:rsidRDefault="009C7FA4" w:rsidP="009C7FA4">
      <w:pPr>
        <w:pStyle w:val="Textoindependiente"/>
        <w:widowControl w:val="0"/>
        <w:tabs>
          <w:tab w:val="left" w:pos="9356"/>
        </w:tabs>
        <w:ind w:left="502" w:right="-568"/>
        <w:rPr>
          <w:b/>
          <w:u w:val="single"/>
          <w:lang w:val="es-AR"/>
        </w:rPr>
      </w:pPr>
    </w:p>
    <w:p w:rsidR="009C7FA4" w:rsidRPr="005A72F1" w:rsidRDefault="009C7FA4" w:rsidP="009C7FA4">
      <w:pPr>
        <w:pStyle w:val="Textoindependiente"/>
        <w:widowControl w:val="0"/>
        <w:tabs>
          <w:tab w:val="left" w:pos="9356"/>
        </w:tabs>
        <w:ind w:right="-568"/>
        <w:rPr>
          <w:lang w:val="es-AR"/>
        </w:rPr>
      </w:pPr>
      <w:r w:rsidRPr="005A72F1">
        <w:rPr>
          <w:lang w:val="es-AR"/>
        </w:rPr>
        <w:t>Los contribuyentes podrán</w:t>
      </w:r>
      <w:r>
        <w:rPr>
          <w:lang w:val="es-AR"/>
        </w:rPr>
        <w:t>, en forma previa a la transmisión del plan,</w:t>
      </w:r>
      <w:r w:rsidRPr="005A72F1">
        <w:rPr>
          <w:lang w:val="es-AR"/>
        </w:rPr>
        <w:t xml:space="preserve"> optar por constituir una garantía electrónica a favor de la AFIP, conforme a alguna de las modalidades previstas en la RG 3885, cuando se trate de un plan general o por gestión judicial. En tal sentido, para estos contribuyentes se establecen las tasas reducidas indicadas en el Anexo </w:t>
      </w:r>
      <w:r>
        <w:rPr>
          <w:lang w:val="es-AR"/>
        </w:rPr>
        <w:t>I</w:t>
      </w:r>
      <w:r w:rsidRPr="005A72F1">
        <w:rPr>
          <w:lang w:val="es-AR"/>
        </w:rPr>
        <w:t>.</w:t>
      </w:r>
    </w:p>
    <w:p w:rsidR="009C7FA4" w:rsidRPr="005A72F1" w:rsidRDefault="009C7FA4" w:rsidP="009C7FA4">
      <w:pPr>
        <w:pStyle w:val="Textoindependiente"/>
        <w:widowControl w:val="0"/>
        <w:tabs>
          <w:tab w:val="left" w:pos="9356"/>
        </w:tabs>
        <w:ind w:left="426" w:right="-568"/>
        <w:rPr>
          <w:lang w:val="es-AR"/>
        </w:rPr>
      </w:pPr>
    </w:p>
    <w:p w:rsidR="009C7FA4" w:rsidRPr="005A72F1" w:rsidRDefault="009C7FA4" w:rsidP="009C7FA4">
      <w:pPr>
        <w:pStyle w:val="Textoindependiente"/>
        <w:widowControl w:val="0"/>
        <w:tabs>
          <w:tab w:val="left" w:pos="9356"/>
        </w:tabs>
        <w:ind w:right="-568"/>
        <w:rPr>
          <w:lang w:val="es-AR"/>
        </w:rPr>
      </w:pPr>
      <w:r w:rsidRPr="005A72F1">
        <w:rPr>
          <w:lang w:val="es-AR"/>
        </w:rPr>
        <w:t>El monto de la garantía deberá resultar, como mínimo, equivalente al monto consolidado. Cuando se opte por garantizar con Caución de Títulos Públicos, dicho importe d</w:t>
      </w:r>
      <w:r>
        <w:rPr>
          <w:lang w:val="es-AR"/>
        </w:rPr>
        <w:t>eberá incrementarse en un 1,50% para atender eventuales gastos de venta de títulos.</w:t>
      </w:r>
    </w:p>
    <w:p w:rsidR="009C7FA4" w:rsidRPr="005A72F1" w:rsidRDefault="009C7FA4" w:rsidP="009C7FA4">
      <w:pPr>
        <w:pStyle w:val="Textoindependiente"/>
        <w:widowControl w:val="0"/>
        <w:tabs>
          <w:tab w:val="left" w:pos="9356"/>
        </w:tabs>
        <w:ind w:left="426" w:right="-568"/>
        <w:rPr>
          <w:lang w:val="es-AR"/>
        </w:rPr>
      </w:pPr>
    </w:p>
    <w:p w:rsidR="009C7FA4" w:rsidRDefault="009C7FA4" w:rsidP="009C7FA4">
      <w:pPr>
        <w:pStyle w:val="Textoindependiente"/>
        <w:widowControl w:val="0"/>
        <w:tabs>
          <w:tab w:val="left" w:pos="9356"/>
        </w:tabs>
        <w:ind w:right="-568"/>
        <w:rPr>
          <w:lang w:val="es-AR"/>
        </w:rPr>
      </w:pPr>
      <w:r w:rsidRPr="005A72F1">
        <w:rPr>
          <w:lang w:val="es-AR"/>
        </w:rPr>
        <w:t xml:space="preserve">La garantía se emitirá con una fecha de vencimiento que no podrá ser anterior al último día del sexto mes, contado a partir del primer día del mes siguiente de la fecha de vencimiento de la última cuota del </w:t>
      </w:r>
      <w:r w:rsidRPr="003B1345">
        <w:rPr>
          <w:lang w:val="es-AR"/>
        </w:rPr>
        <w:t>plan de facilidades.</w:t>
      </w:r>
    </w:p>
    <w:p w:rsidR="009C7FA4" w:rsidRDefault="009C7FA4" w:rsidP="009C7FA4">
      <w:pPr>
        <w:pStyle w:val="Textoindependiente"/>
        <w:widowControl w:val="0"/>
        <w:tabs>
          <w:tab w:val="left" w:pos="9356"/>
        </w:tabs>
        <w:ind w:right="-568"/>
        <w:rPr>
          <w:lang w:val="es-AR"/>
        </w:rPr>
      </w:pPr>
    </w:p>
    <w:p w:rsidR="009C7FA4" w:rsidRDefault="009C7FA4" w:rsidP="009C7FA4">
      <w:pPr>
        <w:pStyle w:val="Textoindependiente"/>
        <w:widowControl w:val="0"/>
        <w:tabs>
          <w:tab w:val="left" w:pos="9356"/>
        </w:tabs>
        <w:ind w:right="-568"/>
        <w:rPr>
          <w:b/>
          <w:i/>
          <w:u w:val="single"/>
          <w:lang w:val="es-AR"/>
        </w:rPr>
      </w:pPr>
      <w:r>
        <w:rPr>
          <w:lang w:val="es-AR"/>
        </w:rPr>
        <w:t>Se aceptará una sola garantía por plan presentado.</w:t>
      </w:r>
    </w:p>
    <w:p w:rsidR="009C7FA4" w:rsidRDefault="009C7FA4" w:rsidP="009C7FA4">
      <w:pPr>
        <w:pStyle w:val="Textoindependiente"/>
        <w:widowControl w:val="0"/>
        <w:tabs>
          <w:tab w:val="left" w:pos="9356"/>
        </w:tabs>
        <w:ind w:right="-568"/>
        <w:rPr>
          <w:b/>
          <w:i/>
          <w:u w:val="single"/>
          <w:lang w:val="es-AR"/>
        </w:rPr>
      </w:pPr>
    </w:p>
    <w:p w:rsidR="009C7FA4" w:rsidRPr="00961870" w:rsidRDefault="009C7FA4" w:rsidP="009C7FA4">
      <w:pPr>
        <w:pStyle w:val="Textoindependiente"/>
        <w:widowControl w:val="0"/>
        <w:tabs>
          <w:tab w:val="left" w:pos="9356"/>
        </w:tabs>
        <w:ind w:right="-568"/>
        <w:rPr>
          <w:b/>
          <w:i/>
          <w:u w:val="single"/>
          <w:lang w:val="es-AR"/>
        </w:rPr>
      </w:pPr>
    </w:p>
    <w:p w:rsidR="00D3742B" w:rsidRPr="003847AF" w:rsidRDefault="003847AF" w:rsidP="009C7FA4">
      <w:pPr>
        <w:pStyle w:val="Textoindependiente"/>
        <w:widowControl w:val="0"/>
        <w:numPr>
          <w:ilvl w:val="0"/>
          <w:numId w:val="1"/>
        </w:numPr>
        <w:tabs>
          <w:tab w:val="left" w:pos="9356"/>
        </w:tabs>
        <w:ind w:right="-568"/>
        <w:rPr>
          <w:b/>
          <w:u w:val="single"/>
          <w:lang w:val="es-AR"/>
        </w:rPr>
      </w:pPr>
      <w:r w:rsidRPr="00241240">
        <w:rPr>
          <w:b/>
          <w:u w:val="single"/>
          <w:lang w:val="es-AR"/>
        </w:rPr>
        <w:t>Adhesión, requisitos y formalidades</w:t>
      </w:r>
    </w:p>
    <w:p w:rsidR="003847AF" w:rsidRDefault="003847AF" w:rsidP="009C7FA4">
      <w:pPr>
        <w:pStyle w:val="Textoindependiente"/>
        <w:widowControl w:val="0"/>
        <w:tabs>
          <w:tab w:val="left" w:pos="9356"/>
        </w:tabs>
        <w:ind w:left="502" w:right="-568"/>
        <w:rPr>
          <w:lang w:val="es-AR"/>
        </w:rPr>
      </w:pPr>
    </w:p>
    <w:p w:rsidR="003847AF" w:rsidRDefault="003847AF" w:rsidP="009C7FA4">
      <w:pPr>
        <w:pStyle w:val="Textoindependiente"/>
        <w:widowControl w:val="0"/>
        <w:tabs>
          <w:tab w:val="left" w:pos="9356"/>
        </w:tabs>
        <w:ind w:right="-568"/>
        <w:rPr>
          <w:lang w:val="es-AR"/>
        </w:rPr>
      </w:pPr>
      <w:r>
        <w:rPr>
          <w:lang w:val="es-AR"/>
        </w:rPr>
        <w:t>Para acogerse al plan de facilidades de pago se deberá:</w:t>
      </w:r>
    </w:p>
    <w:p w:rsidR="003847AF" w:rsidRPr="00961870" w:rsidRDefault="003847AF" w:rsidP="009C7FA4">
      <w:pPr>
        <w:pStyle w:val="Textoindependiente"/>
        <w:widowControl w:val="0"/>
        <w:tabs>
          <w:tab w:val="left" w:pos="9356"/>
        </w:tabs>
        <w:ind w:right="-568"/>
        <w:rPr>
          <w:b/>
          <w:i/>
          <w:u w:val="single"/>
          <w:lang w:val="es-AR"/>
        </w:rPr>
      </w:pPr>
    </w:p>
    <w:p w:rsidR="00397996" w:rsidRPr="00961870" w:rsidRDefault="00397996" w:rsidP="009C7FA4">
      <w:pPr>
        <w:pStyle w:val="Textoindependiente"/>
        <w:widowControl w:val="0"/>
        <w:numPr>
          <w:ilvl w:val="0"/>
          <w:numId w:val="10"/>
        </w:numPr>
        <w:tabs>
          <w:tab w:val="left" w:pos="9356"/>
        </w:tabs>
        <w:ind w:right="-568"/>
        <w:rPr>
          <w:lang w:val="es-AR"/>
        </w:rPr>
      </w:pPr>
      <w:r w:rsidRPr="00961870">
        <w:rPr>
          <w:lang w:val="es-AR"/>
        </w:rPr>
        <w:t>Poseer domicilio fiscal electrónico constituido.</w:t>
      </w:r>
    </w:p>
    <w:p w:rsidR="00397996" w:rsidRPr="00961870" w:rsidRDefault="00397996" w:rsidP="009C7FA4">
      <w:pPr>
        <w:pStyle w:val="Textoindependiente"/>
        <w:widowControl w:val="0"/>
        <w:numPr>
          <w:ilvl w:val="0"/>
          <w:numId w:val="10"/>
        </w:numPr>
        <w:tabs>
          <w:tab w:val="left" w:pos="9356"/>
        </w:tabs>
        <w:ind w:right="-568"/>
        <w:rPr>
          <w:lang w:val="es-AR"/>
        </w:rPr>
      </w:pPr>
      <w:r w:rsidRPr="00961870">
        <w:rPr>
          <w:lang w:val="es-AR"/>
        </w:rPr>
        <w:t xml:space="preserve">Tener presentadas las declaraciones juradas impositivas y </w:t>
      </w:r>
      <w:r w:rsidR="00722235" w:rsidRPr="00961870">
        <w:rPr>
          <w:lang w:val="es-AR"/>
        </w:rPr>
        <w:t>de los recursos de la seguridad social</w:t>
      </w:r>
      <w:r w:rsidRPr="00961870">
        <w:rPr>
          <w:lang w:val="es-AR"/>
        </w:rPr>
        <w:t xml:space="preserve"> con anterioridad a la solicitud de adhesión al régimen.</w:t>
      </w:r>
    </w:p>
    <w:p w:rsidR="00397996" w:rsidRDefault="00397996" w:rsidP="009C7FA4">
      <w:pPr>
        <w:pStyle w:val="Textoindependiente"/>
        <w:widowControl w:val="0"/>
        <w:numPr>
          <w:ilvl w:val="0"/>
          <w:numId w:val="10"/>
        </w:numPr>
        <w:tabs>
          <w:tab w:val="left" w:pos="9356"/>
        </w:tabs>
        <w:ind w:right="-568"/>
        <w:rPr>
          <w:lang w:val="es-AR"/>
        </w:rPr>
      </w:pPr>
      <w:r w:rsidRPr="00961870">
        <w:rPr>
          <w:lang w:val="es-AR"/>
        </w:rPr>
        <w:t>Declarar en el servicio “Declaración de CBU”</w:t>
      </w:r>
      <w:r w:rsidR="00722235" w:rsidRPr="00961870">
        <w:rPr>
          <w:lang w:val="es-AR"/>
        </w:rPr>
        <w:t xml:space="preserve"> la CBU de la cuenta corriente o caja de ahorro de la que se debitarán los importes correspondientes.</w:t>
      </w:r>
    </w:p>
    <w:p w:rsidR="003847AF" w:rsidRDefault="003847AF" w:rsidP="009C7FA4">
      <w:pPr>
        <w:pStyle w:val="Textoindependiente"/>
        <w:widowControl w:val="0"/>
        <w:numPr>
          <w:ilvl w:val="0"/>
          <w:numId w:val="10"/>
        </w:numPr>
        <w:tabs>
          <w:tab w:val="left" w:pos="9356"/>
        </w:tabs>
        <w:ind w:right="-568"/>
        <w:rPr>
          <w:lang w:val="es-AR"/>
        </w:rPr>
      </w:pPr>
      <w:r>
        <w:rPr>
          <w:lang w:val="es-AR"/>
        </w:rPr>
        <w:t>La adhesión al plan de facilidades de pago deberá realizarse a través del sistema “Mis fac</w:t>
      </w:r>
      <w:r w:rsidR="009C7FA4">
        <w:rPr>
          <w:lang w:val="es-AR"/>
        </w:rPr>
        <w:t>ilidades” del sitio web de AFIP en la opción “RG4268 Plan de Financiación Permanente”.</w:t>
      </w:r>
    </w:p>
    <w:p w:rsidR="003847AF" w:rsidRDefault="003847AF" w:rsidP="009C7FA4">
      <w:pPr>
        <w:pStyle w:val="Textoindependiente"/>
        <w:widowControl w:val="0"/>
        <w:numPr>
          <w:ilvl w:val="0"/>
          <w:numId w:val="10"/>
        </w:numPr>
        <w:tabs>
          <w:tab w:val="left" w:pos="9356"/>
        </w:tabs>
        <w:ind w:right="-568"/>
        <w:rPr>
          <w:lang w:val="es-AR"/>
        </w:rPr>
      </w:pPr>
      <w:r>
        <w:rPr>
          <w:lang w:val="es-AR"/>
        </w:rPr>
        <w:t>Convalidar, modificar, incorporar y/o eliminar las obligaciones adeudadas a regularizar.</w:t>
      </w:r>
    </w:p>
    <w:p w:rsidR="003847AF" w:rsidRDefault="003847AF" w:rsidP="009C7FA4">
      <w:pPr>
        <w:pStyle w:val="Textoindependiente"/>
        <w:widowControl w:val="0"/>
        <w:numPr>
          <w:ilvl w:val="0"/>
          <w:numId w:val="10"/>
        </w:numPr>
        <w:tabs>
          <w:tab w:val="left" w:pos="9356"/>
        </w:tabs>
        <w:ind w:right="-568"/>
        <w:rPr>
          <w:lang w:val="es-AR"/>
        </w:rPr>
      </w:pPr>
      <w:r>
        <w:rPr>
          <w:lang w:val="es-AR"/>
        </w:rPr>
        <w:t xml:space="preserve">Se tendrá que elegir el plan de facilidades </w:t>
      </w:r>
      <w:r w:rsidR="002C0FD2">
        <w:rPr>
          <w:lang w:val="es-AR"/>
        </w:rPr>
        <w:t>que corresponda, como también la garantía que se asociará a la presentación, en caso de resultar aplicable</w:t>
      </w:r>
      <w:r>
        <w:rPr>
          <w:lang w:val="es-AR"/>
        </w:rPr>
        <w:t>.</w:t>
      </w:r>
    </w:p>
    <w:p w:rsidR="003847AF" w:rsidRDefault="003847AF" w:rsidP="009C7FA4">
      <w:pPr>
        <w:pStyle w:val="Textoindependiente"/>
        <w:widowControl w:val="0"/>
        <w:numPr>
          <w:ilvl w:val="0"/>
          <w:numId w:val="10"/>
        </w:numPr>
        <w:tabs>
          <w:tab w:val="left" w:pos="9356"/>
        </w:tabs>
        <w:ind w:right="-568"/>
        <w:rPr>
          <w:lang w:val="es-AR"/>
        </w:rPr>
      </w:pPr>
      <w:r>
        <w:rPr>
          <w:lang w:val="es-AR"/>
        </w:rPr>
        <w:t>Seleccionar la Clave Bancaria Uniforme (CBU) a utilizar.</w:t>
      </w:r>
    </w:p>
    <w:p w:rsidR="003847AF" w:rsidRDefault="009C7FA4" w:rsidP="009C7FA4">
      <w:pPr>
        <w:pStyle w:val="Textoindependiente"/>
        <w:widowControl w:val="0"/>
        <w:numPr>
          <w:ilvl w:val="0"/>
          <w:numId w:val="10"/>
        </w:numPr>
        <w:tabs>
          <w:tab w:val="left" w:pos="9356"/>
        </w:tabs>
        <w:ind w:right="-568"/>
        <w:rPr>
          <w:lang w:val="es-AR"/>
        </w:rPr>
      </w:pPr>
      <w:r>
        <w:rPr>
          <w:lang w:val="es-AR"/>
        </w:rPr>
        <w:t xml:space="preserve">Imprimir la declaración jurada - F.1003 – junto con el acuse de </w:t>
      </w:r>
      <w:r w:rsidR="003847AF">
        <w:rPr>
          <w:lang w:val="es-AR"/>
        </w:rPr>
        <w:t>recibo de la presentación realizada, una vez registrado el pago a cuenta y producido el envío automático del plan.</w:t>
      </w:r>
    </w:p>
    <w:p w:rsidR="003847AF" w:rsidRPr="00961870" w:rsidRDefault="003847AF" w:rsidP="009C7FA4">
      <w:pPr>
        <w:pStyle w:val="Textoindependiente"/>
        <w:widowControl w:val="0"/>
        <w:tabs>
          <w:tab w:val="left" w:pos="9356"/>
        </w:tabs>
        <w:ind w:left="720" w:right="-568"/>
        <w:rPr>
          <w:lang w:val="es-AR"/>
        </w:rPr>
      </w:pPr>
    </w:p>
    <w:p w:rsidR="006C47D1" w:rsidRPr="0005275A" w:rsidRDefault="006C47D1" w:rsidP="009C7FA4">
      <w:pPr>
        <w:pStyle w:val="Textoindependiente"/>
        <w:widowControl w:val="0"/>
        <w:tabs>
          <w:tab w:val="left" w:pos="9356"/>
        </w:tabs>
        <w:ind w:left="2220" w:right="-568" w:hanging="357"/>
        <w:rPr>
          <w:u w:val="single"/>
          <w:lang w:val="es-AR"/>
        </w:rPr>
      </w:pPr>
    </w:p>
    <w:p w:rsidR="00A345F3" w:rsidRPr="0005275A" w:rsidRDefault="00A345F3" w:rsidP="009C7FA4">
      <w:pPr>
        <w:pStyle w:val="Textoindependiente"/>
        <w:widowControl w:val="0"/>
        <w:numPr>
          <w:ilvl w:val="0"/>
          <w:numId w:val="32"/>
        </w:numPr>
        <w:tabs>
          <w:tab w:val="left" w:pos="9356"/>
        </w:tabs>
        <w:ind w:left="142" w:right="-568"/>
        <w:rPr>
          <w:b/>
          <w:u w:val="single"/>
          <w:lang w:val="es-AR"/>
        </w:rPr>
      </w:pPr>
      <w:r w:rsidRPr="0005275A">
        <w:rPr>
          <w:b/>
          <w:u w:val="single"/>
          <w:lang w:val="es-AR"/>
        </w:rPr>
        <w:t>C</w:t>
      </w:r>
      <w:r w:rsidR="00FD58C5" w:rsidRPr="0005275A">
        <w:rPr>
          <w:b/>
          <w:u w:val="single"/>
          <w:lang w:val="es-AR"/>
        </w:rPr>
        <w:t>aracterísticas del plan</w:t>
      </w:r>
    </w:p>
    <w:p w:rsidR="00002B02" w:rsidRPr="0005275A" w:rsidRDefault="00002B02" w:rsidP="009C7FA4">
      <w:pPr>
        <w:pStyle w:val="Textoindependiente"/>
        <w:widowControl w:val="0"/>
        <w:tabs>
          <w:tab w:val="left" w:pos="9356"/>
        </w:tabs>
        <w:ind w:right="-568"/>
        <w:rPr>
          <w:i/>
          <w:u w:val="single"/>
          <w:lang w:val="es-AR"/>
        </w:rPr>
      </w:pPr>
    </w:p>
    <w:p w:rsidR="00A345F3" w:rsidRPr="0005275A" w:rsidRDefault="00A345F3" w:rsidP="009C7FA4">
      <w:pPr>
        <w:pStyle w:val="Textoindependiente"/>
        <w:widowControl w:val="0"/>
        <w:numPr>
          <w:ilvl w:val="0"/>
          <w:numId w:val="14"/>
        </w:numPr>
        <w:tabs>
          <w:tab w:val="left" w:pos="9356"/>
        </w:tabs>
        <w:ind w:left="709" w:right="-568"/>
        <w:rPr>
          <w:u w:val="single"/>
          <w:lang w:val="es-AR"/>
        </w:rPr>
      </w:pPr>
      <w:r w:rsidRPr="0005275A">
        <w:rPr>
          <w:lang w:val="es-AR"/>
        </w:rPr>
        <w:t>Las cuotas serán mensuales, iguales y consecutivas</w:t>
      </w:r>
    </w:p>
    <w:p w:rsidR="00A345F3" w:rsidRPr="0005275A" w:rsidRDefault="00A345F3" w:rsidP="009C7FA4">
      <w:pPr>
        <w:pStyle w:val="Textoindependiente"/>
        <w:widowControl w:val="0"/>
        <w:numPr>
          <w:ilvl w:val="0"/>
          <w:numId w:val="14"/>
        </w:numPr>
        <w:tabs>
          <w:tab w:val="left" w:pos="9356"/>
        </w:tabs>
        <w:ind w:left="709" w:right="-568" w:hanging="357"/>
        <w:rPr>
          <w:u w:val="single"/>
          <w:lang w:val="es-AR"/>
        </w:rPr>
      </w:pPr>
      <w:r w:rsidRPr="0005275A">
        <w:rPr>
          <w:lang w:val="es-AR"/>
        </w:rPr>
        <w:t xml:space="preserve">El monto de </w:t>
      </w:r>
      <w:r w:rsidR="002C0FD2">
        <w:rPr>
          <w:lang w:val="es-AR"/>
        </w:rPr>
        <w:t>cada</w:t>
      </w:r>
      <w:r w:rsidRPr="0005275A">
        <w:rPr>
          <w:lang w:val="es-AR"/>
        </w:rPr>
        <w:t xml:space="preserve"> cuota deberá ser igual o superior a $</w:t>
      </w:r>
      <w:r w:rsidR="006D20AF">
        <w:rPr>
          <w:lang w:val="es-AR"/>
        </w:rPr>
        <w:t xml:space="preserve"> </w:t>
      </w:r>
      <w:r w:rsidRPr="0005275A">
        <w:rPr>
          <w:lang w:val="es-AR"/>
        </w:rPr>
        <w:t>1</w:t>
      </w:r>
      <w:r w:rsidR="006D20AF">
        <w:rPr>
          <w:lang w:val="es-AR"/>
        </w:rPr>
        <w:t>.</w:t>
      </w:r>
      <w:r w:rsidRPr="0005275A">
        <w:rPr>
          <w:lang w:val="es-AR"/>
        </w:rPr>
        <w:t>000</w:t>
      </w:r>
      <w:r w:rsidR="00193836" w:rsidRPr="0005275A">
        <w:rPr>
          <w:lang w:val="es-AR"/>
        </w:rPr>
        <w:t>.</w:t>
      </w:r>
      <w:r w:rsidRPr="0005275A">
        <w:rPr>
          <w:lang w:val="es-AR"/>
        </w:rPr>
        <w:t xml:space="preserve">- </w:t>
      </w:r>
      <w:r w:rsidR="002C0FD2">
        <w:rPr>
          <w:lang w:val="es-AR"/>
        </w:rPr>
        <w:t>e</w:t>
      </w:r>
      <w:r w:rsidRPr="0005275A">
        <w:rPr>
          <w:lang w:val="es-AR"/>
        </w:rPr>
        <w:t>xcepto p</w:t>
      </w:r>
      <w:r w:rsidR="002C0FD2">
        <w:rPr>
          <w:lang w:val="es-AR"/>
        </w:rPr>
        <w:t>ara los</w:t>
      </w:r>
      <w:r w:rsidRPr="0005275A">
        <w:rPr>
          <w:lang w:val="es-AR"/>
        </w:rPr>
        <w:t xml:space="preserve"> aportes pr</w:t>
      </w:r>
      <w:r w:rsidR="002C0FD2">
        <w:rPr>
          <w:lang w:val="es-AR"/>
        </w:rPr>
        <w:t>e</w:t>
      </w:r>
      <w:r w:rsidRPr="0005275A">
        <w:rPr>
          <w:lang w:val="es-AR"/>
        </w:rPr>
        <w:t>visionales de trabajadores autónomos y/o régimen simplifica</w:t>
      </w:r>
      <w:r w:rsidR="002C0FD2">
        <w:rPr>
          <w:lang w:val="es-AR"/>
        </w:rPr>
        <w:t>do en cuyo caso</w:t>
      </w:r>
      <w:r w:rsidRPr="0005275A">
        <w:rPr>
          <w:lang w:val="es-AR"/>
        </w:rPr>
        <w:t xml:space="preserve"> la cuota deberá ser igual o superior a $500</w:t>
      </w:r>
      <w:r w:rsidR="00193836" w:rsidRPr="0005275A">
        <w:rPr>
          <w:lang w:val="es-AR"/>
        </w:rPr>
        <w:t>.</w:t>
      </w:r>
      <w:r w:rsidRPr="0005275A">
        <w:rPr>
          <w:lang w:val="es-AR"/>
        </w:rPr>
        <w:t>-</w:t>
      </w:r>
    </w:p>
    <w:p w:rsidR="00A345F3" w:rsidRPr="006E3492" w:rsidRDefault="00A345F3" w:rsidP="009C7FA4">
      <w:pPr>
        <w:pStyle w:val="Textoindependiente"/>
        <w:widowControl w:val="0"/>
        <w:numPr>
          <w:ilvl w:val="0"/>
          <w:numId w:val="14"/>
        </w:numPr>
        <w:tabs>
          <w:tab w:val="left" w:pos="9356"/>
        </w:tabs>
        <w:ind w:left="709" w:right="-568" w:hanging="357"/>
        <w:rPr>
          <w:u w:val="single"/>
          <w:lang w:val="es-AR"/>
        </w:rPr>
      </w:pPr>
      <w:r w:rsidRPr="0005275A">
        <w:rPr>
          <w:lang w:val="es-AR"/>
        </w:rPr>
        <w:t xml:space="preserve">Las tasas de interés de financiamiento a aplicar </w:t>
      </w:r>
      <w:r w:rsidR="00FD58C5" w:rsidRPr="0005275A">
        <w:rPr>
          <w:lang w:val="es-AR"/>
        </w:rPr>
        <w:t xml:space="preserve">que </w:t>
      </w:r>
      <w:r w:rsidRPr="0005275A">
        <w:rPr>
          <w:lang w:val="es-AR"/>
        </w:rPr>
        <w:t>se detallan en Anexo I</w:t>
      </w:r>
      <w:r w:rsidR="00FD58C5" w:rsidRPr="0005275A">
        <w:rPr>
          <w:lang w:val="es-AR"/>
        </w:rPr>
        <w:t xml:space="preserve"> </w:t>
      </w:r>
      <w:r w:rsidR="0005275A" w:rsidRPr="006E3492">
        <w:rPr>
          <w:lang w:val="es-AR"/>
        </w:rPr>
        <w:t>serán de aplicación</w:t>
      </w:r>
      <w:r w:rsidR="00FD58C5" w:rsidRPr="006E3492">
        <w:rPr>
          <w:lang w:val="es-AR"/>
        </w:rPr>
        <w:t xml:space="preserve"> </w:t>
      </w:r>
      <w:r w:rsidRPr="006E3492">
        <w:rPr>
          <w:lang w:val="es-AR"/>
        </w:rPr>
        <w:t>para los planes que se consoliden durante el pri</w:t>
      </w:r>
      <w:r w:rsidR="00FD58C5" w:rsidRPr="006E3492">
        <w:rPr>
          <w:lang w:val="es-AR"/>
        </w:rPr>
        <w:t xml:space="preserve">mer mes calendario de la vigencia de la presente. </w:t>
      </w:r>
      <w:r w:rsidR="002C0FD2">
        <w:rPr>
          <w:lang w:val="es-AR"/>
        </w:rPr>
        <w:t>Para los</w:t>
      </w:r>
      <w:r w:rsidR="00FD58C5" w:rsidRPr="006E3492">
        <w:rPr>
          <w:lang w:val="es-AR"/>
        </w:rPr>
        <w:t xml:space="preserve"> </w:t>
      </w:r>
      <w:proofErr w:type="gramStart"/>
      <w:r w:rsidR="00FD58C5" w:rsidRPr="006E3492">
        <w:rPr>
          <w:lang w:val="es-AR"/>
        </w:rPr>
        <w:t>próximas</w:t>
      </w:r>
      <w:proofErr w:type="gramEnd"/>
      <w:r w:rsidR="00FD58C5" w:rsidRPr="006E3492">
        <w:rPr>
          <w:lang w:val="es-AR"/>
        </w:rPr>
        <w:t xml:space="preserve"> </w:t>
      </w:r>
      <w:r w:rsidR="002C0FD2">
        <w:rPr>
          <w:lang w:val="es-AR"/>
        </w:rPr>
        <w:t xml:space="preserve">meses las </w:t>
      </w:r>
      <w:r w:rsidR="00FD58C5" w:rsidRPr="006E3492">
        <w:rPr>
          <w:lang w:val="es-AR"/>
        </w:rPr>
        <w:t xml:space="preserve">tasas se publicarán en el sitio web </w:t>
      </w:r>
      <w:r w:rsidR="00193836" w:rsidRPr="006E3492">
        <w:rPr>
          <w:lang w:val="es-AR"/>
        </w:rPr>
        <w:t>d</w:t>
      </w:r>
      <w:r w:rsidR="00FD58C5" w:rsidRPr="006E3492">
        <w:rPr>
          <w:lang w:val="es-AR"/>
        </w:rPr>
        <w:t>e la AFIP.</w:t>
      </w:r>
    </w:p>
    <w:p w:rsidR="00A345F3" w:rsidRPr="006E3492" w:rsidRDefault="00582429" w:rsidP="009C7FA4">
      <w:pPr>
        <w:pStyle w:val="Textoindependiente"/>
        <w:widowControl w:val="0"/>
        <w:numPr>
          <w:ilvl w:val="0"/>
          <w:numId w:val="14"/>
        </w:numPr>
        <w:tabs>
          <w:tab w:val="left" w:pos="9356"/>
        </w:tabs>
        <w:ind w:left="709" w:right="-568" w:hanging="357"/>
        <w:rPr>
          <w:u w:val="single"/>
          <w:lang w:val="es-AR"/>
        </w:rPr>
      </w:pPr>
      <w:r w:rsidRPr="006E3492">
        <w:rPr>
          <w:lang w:val="es-AR"/>
        </w:rPr>
        <w:lastRenderedPageBreak/>
        <w:t xml:space="preserve">La cantidad máxima de planes admitidos y de cuotas a otorgar se especifican en el Anexo I. No obstante, solo </w:t>
      </w:r>
      <w:r w:rsidR="00A345F3" w:rsidRPr="006E3492">
        <w:rPr>
          <w:lang w:val="es-AR"/>
        </w:rPr>
        <w:t>se podrá solicitar un plan por me</w:t>
      </w:r>
      <w:r w:rsidRPr="006E3492">
        <w:rPr>
          <w:lang w:val="es-AR"/>
        </w:rPr>
        <w:t xml:space="preserve">s calendario cuando se trate de contribuyentes </w:t>
      </w:r>
      <w:proofErr w:type="spellStart"/>
      <w:r w:rsidRPr="006E3492">
        <w:rPr>
          <w:lang w:val="es-AR"/>
        </w:rPr>
        <w:t>qe</w:t>
      </w:r>
      <w:proofErr w:type="spellEnd"/>
      <w:r w:rsidRPr="006E3492">
        <w:rPr>
          <w:lang w:val="es-AR"/>
        </w:rPr>
        <w:t xml:space="preserve"> regularicen deudas provenientes de ajuste de inspección, deudas aduaneras, de emergencia y/o desastre y dación en pago, de </w:t>
      </w:r>
      <w:r w:rsidR="00D75B05">
        <w:rPr>
          <w:lang w:val="es-AR"/>
        </w:rPr>
        <w:t xml:space="preserve">aportes de trabajadores autónomos y del </w:t>
      </w:r>
      <w:proofErr w:type="spellStart"/>
      <w:r w:rsidRPr="006E3492">
        <w:rPr>
          <w:lang w:val="es-AR"/>
        </w:rPr>
        <w:t>Monotributo</w:t>
      </w:r>
      <w:proofErr w:type="spellEnd"/>
      <w:r w:rsidRPr="006E3492">
        <w:rPr>
          <w:lang w:val="es-AR"/>
        </w:rPr>
        <w:t xml:space="preserve">. </w:t>
      </w:r>
    </w:p>
    <w:p w:rsidR="00C200BE" w:rsidRPr="006E3492" w:rsidRDefault="00C200BE" w:rsidP="009C7FA4">
      <w:pPr>
        <w:pStyle w:val="Textoindependiente"/>
        <w:widowControl w:val="0"/>
        <w:tabs>
          <w:tab w:val="left" w:pos="9356"/>
        </w:tabs>
        <w:ind w:left="709" w:right="-568"/>
        <w:rPr>
          <w:u w:val="single"/>
          <w:lang w:val="es-AR"/>
        </w:rPr>
      </w:pPr>
    </w:p>
    <w:p w:rsidR="00945CBE" w:rsidRPr="00EF57C1" w:rsidRDefault="00945CBE" w:rsidP="009C7FA4">
      <w:pPr>
        <w:pStyle w:val="Textoindependiente"/>
        <w:widowControl w:val="0"/>
        <w:tabs>
          <w:tab w:val="left" w:pos="9356"/>
        </w:tabs>
        <w:ind w:right="-568"/>
        <w:rPr>
          <w:b/>
          <w:highlight w:val="yellow"/>
          <w:u w:val="single"/>
          <w:lang w:val="es-AR"/>
        </w:rPr>
      </w:pPr>
    </w:p>
    <w:p w:rsidR="00D3742B" w:rsidRPr="00D848F2" w:rsidRDefault="00D3742B" w:rsidP="009C7FA4">
      <w:pPr>
        <w:pStyle w:val="Textoindependiente"/>
        <w:widowControl w:val="0"/>
        <w:numPr>
          <w:ilvl w:val="0"/>
          <w:numId w:val="1"/>
        </w:numPr>
        <w:tabs>
          <w:tab w:val="left" w:pos="709"/>
        </w:tabs>
        <w:ind w:right="-568"/>
        <w:rPr>
          <w:b/>
          <w:u w:val="single"/>
          <w:lang w:val="es-AR"/>
        </w:rPr>
      </w:pPr>
      <w:r w:rsidRPr="00D848F2">
        <w:rPr>
          <w:b/>
          <w:u w:val="single"/>
          <w:lang w:val="es-AR"/>
        </w:rPr>
        <w:t>Vencimiento de las cuotas</w:t>
      </w:r>
    </w:p>
    <w:p w:rsidR="00D3742B" w:rsidRPr="00D848F2" w:rsidRDefault="00D3742B" w:rsidP="009C7FA4">
      <w:pPr>
        <w:pStyle w:val="Textoindependiente"/>
        <w:widowControl w:val="0"/>
        <w:tabs>
          <w:tab w:val="left" w:pos="9356"/>
        </w:tabs>
        <w:ind w:right="-568"/>
        <w:rPr>
          <w:b/>
          <w:u w:val="single"/>
          <w:lang w:val="es-AR"/>
        </w:rPr>
      </w:pPr>
    </w:p>
    <w:p w:rsidR="00D3742B" w:rsidRPr="00D848F2" w:rsidRDefault="00D3742B" w:rsidP="009C7FA4">
      <w:pPr>
        <w:pStyle w:val="Textoindependiente"/>
        <w:widowControl w:val="0"/>
        <w:tabs>
          <w:tab w:val="left" w:pos="9356"/>
        </w:tabs>
        <w:ind w:right="-568"/>
        <w:rPr>
          <w:lang w:val="es-AR"/>
        </w:rPr>
      </w:pPr>
      <w:r w:rsidRPr="00D848F2">
        <w:rPr>
          <w:lang w:val="es-AR"/>
        </w:rPr>
        <w:t>Las cuotas vencerán el día 16 de cada mes inmediato siguiente a aquel en que se consolide la deuda y se cancelarán mediante el procedimiento de débito directo.</w:t>
      </w:r>
    </w:p>
    <w:p w:rsidR="00D3742B" w:rsidRPr="00D848F2" w:rsidRDefault="00D3742B" w:rsidP="009C7FA4">
      <w:pPr>
        <w:pStyle w:val="Textoindependiente"/>
        <w:widowControl w:val="0"/>
        <w:tabs>
          <w:tab w:val="left" w:pos="9356"/>
        </w:tabs>
        <w:ind w:left="426" w:right="-568"/>
        <w:rPr>
          <w:lang w:val="es-AR"/>
        </w:rPr>
      </w:pPr>
    </w:p>
    <w:p w:rsidR="00D75B05" w:rsidRDefault="00D3742B" w:rsidP="009C7FA4">
      <w:pPr>
        <w:pStyle w:val="Textoindependiente"/>
        <w:widowControl w:val="0"/>
        <w:tabs>
          <w:tab w:val="left" w:pos="0"/>
          <w:tab w:val="left" w:pos="9356"/>
        </w:tabs>
        <w:ind w:right="-568"/>
        <w:rPr>
          <w:lang w:val="es-AR"/>
        </w:rPr>
      </w:pPr>
      <w:r w:rsidRPr="00D848F2">
        <w:rPr>
          <w:lang w:val="es-AR"/>
        </w:rPr>
        <w:t>En caso que a la fecha de vencimiento general no se hubiera efectivizado la cancelación de la respectiva cuota, se procederá a realizar un segundo intento de débito directo de la cuenta corriente o caja de ahorro el día 26 del mismo mes.</w:t>
      </w:r>
      <w:r w:rsidR="00D75B05" w:rsidRPr="00D75B05">
        <w:rPr>
          <w:lang w:val="es-AR"/>
        </w:rPr>
        <w:t xml:space="preserve"> </w:t>
      </w:r>
    </w:p>
    <w:p w:rsidR="00D75B05" w:rsidRDefault="00D75B05" w:rsidP="009C7FA4">
      <w:pPr>
        <w:pStyle w:val="Textoindependiente"/>
        <w:widowControl w:val="0"/>
        <w:tabs>
          <w:tab w:val="left" w:pos="0"/>
          <w:tab w:val="left" w:pos="9356"/>
        </w:tabs>
        <w:ind w:right="-568"/>
        <w:rPr>
          <w:lang w:val="es-AR"/>
        </w:rPr>
      </w:pPr>
    </w:p>
    <w:p w:rsidR="00D3742B" w:rsidRPr="00D848F2" w:rsidRDefault="00D75B05" w:rsidP="009C7FA4">
      <w:pPr>
        <w:pStyle w:val="Textoindependiente"/>
        <w:widowControl w:val="0"/>
        <w:tabs>
          <w:tab w:val="left" w:pos="0"/>
          <w:tab w:val="left" w:pos="9356"/>
        </w:tabs>
        <w:ind w:right="-568"/>
        <w:rPr>
          <w:lang w:val="es-AR"/>
        </w:rPr>
      </w:pPr>
      <w:r>
        <w:rPr>
          <w:lang w:val="es-AR"/>
        </w:rPr>
        <w:t>La cuota impaga que no determine la caducidad del plan, así como los respectivos intereses, se debitará el día 12 del mes inmediato siguiente al mes en el que el contribuyente hubiera solicitado la rehabilitación de la misma.</w:t>
      </w:r>
    </w:p>
    <w:p w:rsidR="00D3742B" w:rsidRDefault="00D3742B" w:rsidP="009C7FA4">
      <w:pPr>
        <w:pStyle w:val="Textoindependiente"/>
        <w:widowControl w:val="0"/>
        <w:tabs>
          <w:tab w:val="left" w:pos="426"/>
          <w:tab w:val="left" w:pos="9356"/>
        </w:tabs>
        <w:ind w:left="426" w:right="-568"/>
        <w:rPr>
          <w:lang w:val="es-AR"/>
        </w:rPr>
      </w:pPr>
    </w:p>
    <w:p w:rsidR="00D3742B" w:rsidRPr="00D848F2" w:rsidRDefault="00D3742B" w:rsidP="009C7FA4">
      <w:pPr>
        <w:pStyle w:val="Textoindependiente"/>
        <w:widowControl w:val="0"/>
        <w:tabs>
          <w:tab w:val="left" w:pos="0"/>
          <w:tab w:val="left" w:pos="9356"/>
        </w:tabs>
        <w:ind w:right="-568"/>
        <w:rPr>
          <w:lang w:val="es-AR"/>
        </w:rPr>
      </w:pPr>
      <w:r w:rsidRPr="00D848F2">
        <w:rPr>
          <w:lang w:val="es-AR"/>
        </w:rPr>
        <w:t>Cuando los días de vencimiento fijados para el cobro de las cuotas coincidan con días feriados o inhábiles, se trasladarán al primer día hábil inmediato siguiente.</w:t>
      </w:r>
    </w:p>
    <w:p w:rsidR="00D3742B" w:rsidRPr="00D848F2" w:rsidRDefault="00D3742B" w:rsidP="009C7FA4">
      <w:pPr>
        <w:pStyle w:val="Textoindependiente"/>
        <w:widowControl w:val="0"/>
        <w:tabs>
          <w:tab w:val="left" w:pos="426"/>
          <w:tab w:val="left" w:pos="9356"/>
        </w:tabs>
        <w:ind w:left="426" w:right="-568"/>
        <w:rPr>
          <w:lang w:val="es-AR"/>
        </w:rPr>
      </w:pPr>
    </w:p>
    <w:p w:rsidR="00D848F2" w:rsidRPr="00D848F2" w:rsidRDefault="00D3742B" w:rsidP="009C7FA4">
      <w:pPr>
        <w:pStyle w:val="Textoindependiente"/>
        <w:widowControl w:val="0"/>
        <w:tabs>
          <w:tab w:val="left" w:pos="0"/>
          <w:tab w:val="left" w:pos="9356"/>
        </w:tabs>
        <w:ind w:right="-568"/>
        <w:rPr>
          <w:lang w:val="es-AR"/>
        </w:rPr>
      </w:pPr>
      <w:r w:rsidRPr="00D848F2">
        <w:rPr>
          <w:lang w:val="es-AR"/>
        </w:rPr>
        <w:t>Los sujetos que adhieran al presente régimen podrán solicitar la cancelación anticipada a través del Sistema “Mis Facilidades”. La solicitud será por el importe total adeudado y podrá efectuarse a partir del mes en que se produce el vencimiento de la segunda cuota, inclusive.</w:t>
      </w:r>
      <w:r w:rsidR="00D848F2" w:rsidRPr="00D848F2">
        <w:rPr>
          <w:lang w:val="es-AR"/>
        </w:rPr>
        <w:t xml:space="preserve"> A tal efecto deberán presentar una Multinota en la Agencia donde se encuentran inscriptos.</w:t>
      </w:r>
    </w:p>
    <w:p w:rsidR="00D3742B" w:rsidRPr="00D848F2" w:rsidRDefault="00D3742B" w:rsidP="009C7FA4">
      <w:pPr>
        <w:pStyle w:val="Textoindependiente"/>
        <w:widowControl w:val="0"/>
        <w:tabs>
          <w:tab w:val="left" w:pos="426"/>
          <w:tab w:val="left" w:pos="9356"/>
        </w:tabs>
        <w:ind w:left="426" w:right="-568"/>
        <w:rPr>
          <w:lang w:val="es-AR"/>
        </w:rPr>
      </w:pPr>
    </w:p>
    <w:p w:rsidR="00D3742B" w:rsidRPr="00D848F2" w:rsidRDefault="00D3742B" w:rsidP="009C7FA4">
      <w:pPr>
        <w:pStyle w:val="Textoindependiente"/>
        <w:widowControl w:val="0"/>
        <w:tabs>
          <w:tab w:val="left" w:pos="0"/>
          <w:tab w:val="left" w:pos="9356"/>
        </w:tabs>
        <w:ind w:right="-568"/>
        <w:rPr>
          <w:lang w:val="es-AR"/>
        </w:rPr>
      </w:pPr>
      <w:r w:rsidRPr="00D848F2">
        <w:rPr>
          <w:lang w:val="es-AR"/>
        </w:rPr>
        <w:t>El saldo de deuda, en este caso, será debitado el día 12 del mes siguiente de efectuada la solicitud de cancelación anticipada.</w:t>
      </w:r>
    </w:p>
    <w:p w:rsidR="00D3742B" w:rsidRPr="005906F9" w:rsidRDefault="00D3742B" w:rsidP="009C7FA4">
      <w:pPr>
        <w:pStyle w:val="Textoindependiente"/>
        <w:widowControl w:val="0"/>
        <w:tabs>
          <w:tab w:val="left" w:pos="9356"/>
        </w:tabs>
        <w:ind w:right="-568"/>
        <w:rPr>
          <w:lang w:val="es-AR"/>
        </w:rPr>
      </w:pPr>
    </w:p>
    <w:p w:rsidR="00D3742B" w:rsidRPr="005906F9" w:rsidRDefault="00D3742B" w:rsidP="009C7FA4">
      <w:pPr>
        <w:pStyle w:val="Textoindependiente"/>
        <w:widowControl w:val="0"/>
        <w:tabs>
          <w:tab w:val="left" w:pos="9356"/>
        </w:tabs>
        <w:ind w:right="-568"/>
        <w:rPr>
          <w:b/>
          <w:i/>
          <w:u w:val="single"/>
          <w:lang w:val="es-AR"/>
        </w:rPr>
      </w:pPr>
    </w:p>
    <w:p w:rsidR="00D3742B" w:rsidRPr="005906F9" w:rsidRDefault="00D3742B" w:rsidP="009C7FA4">
      <w:pPr>
        <w:pStyle w:val="Textoindependiente"/>
        <w:widowControl w:val="0"/>
        <w:numPr>
          <w:ilvl w:val="0"/>
          <w:numId w:val="1"/>
        </w:numPr>
        <w:tabs>
          <w:tab w:val="left" w:pos="709"/>
        </w:tabs>
        <w:ind w:right="-568"/>
        <w:rPr>
          <w:b/>
          <w:u w:val="single"/>
          <w:lang w:val="es-AR"/>
        </w:rPr>
      </w:pPr>
      <w:r w:rsidRPr="005906F9">
        <w:rPr>
          <w:b/>
          <w:u w:val="single"/>
          <w:lang w:val="es-AR"/>
        </w:rPr>
        <w:t>Caducidad del plan</w:t>
      </w:r>
    </w:p>
    <w:p w:rsidR="00D3742B" w:rsidRPr="005906F9" w:rsidRDefault="00D3742B" w:rsidP="009C7FA4">
      <w:pPr>
        <w:pStyle w:val="Textoindependiente"/>
        <w:widowControl w:val="0"/>
        <w:tabs>
          <w:tab w:val="left" w:pos="9356"/>
        </w:tabs>
        <w:ind w:right="-568"/>
        <w:rPr>
          <w:lang w:val="es-AR"/>
        </w:rPr>
      </w:pPr>
    </w:p>
    <w:p w:rsidR="006C47D1" w:rsidRPr="005906F9" w:rsidRDefault="006C47D1" w:rsidP="009C7FA4">
      <w:pPr>
        <w:pStyle w:val="Textoindependiente"/>
        <w:tabs>
          <w:tab w:val="left" w:pos="709"/>
        </w:tabs>
        <w:ind w:right="-568"/>
      </w:pPr>
      <w:r w:rsidRPr="005906F9">
        <w:t>La caducidad del plan de facilidades de pago operará de pleno derecho y sin necesidad de que medie intervención alguna por parte de la AFIP, cuando se presente alguna de las siguientes causales:</w:t>
      </w:r>
    </w:p>
    <w:p w:rsidR="00002B02" w:rsidRPr="005906F9" w:rsidRDefault="00002B02" w:rsidP="009C7FA4">
      <w:pPr>
        <w:pStyle w:val="Textoindependiente"/>
        <w:tabs>
          <w:tab w:val="left" w:pos="709"/>
        </w:tabs>
        <w:ind w:left="567" w:right="-568"/>
      </w:pPr>
    </w:p>
    <w:p w:rsidR="006C47D1" w:rsidRPr="005906F9" w:rsidRDefault="006C47D1" w:rsidP="009C7FA4">
      <w:pPr>
        <w:pStyle w:val="Textoindependiente"/>
        <w:numPr>
          <w:ilvl w:val="0"/>
          <w:numId w:val="24"/>
        </w:numPr>
        <w:ind w:left="426" w:right="-568"/>
        <w:rPr>
          <w:u w:val="single"/>
        </w:rPr>
      </w:pPr>
      <w:r w:rsidRPr="005906F9">
        <w:rPr>
          <w:u w:val="single"/>
        </w:rPr>
        <w:t xml:space="preserve">Planes con Perfil de cumplimiento </w:t>
      </w:r>
      <w:r w:rsidR="00D75B05">
        <w:rPr>
          <w:u w:val="single"/>
        </w:rPr>
        <w:t xml:space="preserve">del contribuyente </w:t>
      </w:r>
      <w:r w:rsidRPr="005906F9">
        <w:rPr>
          <w:u w:val="single"/>
        </w:rPr>
        <w:t xml:space="preserve">I y II: </w:t>
      </w:r>
    </w:p>
    <w:p w:rsidR="00F05B53" w:rsidRPr="005906F9" w:rsidRDefault="00F05B53" w:rsidP="009C7FA4">
      <w:pPr>
        <w:pStyle w:val="Textoindependiente"/>
        <w:ind w:left="426" w:right="-568"/>
        <w:rPr>
          <w:u w:val="single"/>
        </w:rPr>
      </w:pPr>
    </w:p>
    <w:p w:rsidR="006C47D1" w:rsidRPr="005906F9" w:rsidRDefault="006C47D1" w:rsidP="00D75B05">
      <w:pPr>
        <w:pStyle w:val="Textoindependiente"/>
        <w:numPr>
          <w:ilvl w:val="0"/>
          <w:numId w:val="23"/>
        </w:numPr>
        <w:ind w:left="851" w:right="-568" w:hanging="142"/>
      </w:pPr>
      <w:r w:rsidRPr="005906F9">
        <w:t xml:space="preserve">Falta de cancelación de 2 cuotas, consecutivas o alternadas, a los 60 días </w:t>
      </w:r>
      <w:r w:rsidR="00D75B05">
        <w:t xml:space="preserve">corridos </w:t>
      </w:r>
      <w:r w:rsidRPr="005906F9">
        <w:t>posteriores a la fecha de vencimiento de la segunda</w:t>
      </w:r>
      <w:r w:rsidR="00D75B05">
        <w:t xml:space="preserve"> de ellas.</w:t>
      </w:r>
    </w:p>
    <w:p w:rsidR="00F05B53" w:rsidRPr="005906F9" w:rsidRDefault="00F05B53" w:rsidP="00D75B05">
      <w:pPr>
        <w:pStyle w:val="Textoindependiente"/>
        <w:ind w:left="851" w:right="-568" w:hanging="142"/>
      </w:pPr>
    </w:p>
    <w:p w:rsidR="006C47D1" w:rsidRPr="005906F9" w:rsidRDefault="006C47D1" w:rsidP="00D75B05">
      <w:pPr>
        <w:pStyle w:val="Textoindependiente"/>
        <w:numPr>
          <w:ilvl w:val="0"/>
          <w:numId w:val="23"/>
        </w:numPr>
        <w:ind w:left="851" w:right="-568" w:hanging="142"/>
      </w:pPr>
      <w:r w:rsidRPr="005906F9">
        <w:t xml:space="preserve">Falta de ingreso de la cuota no cancelada a los 60 días </w:t>
      </w:r>
      <w:r w:rsidR="00D75B05">
        <w:t xml:space="preserve">corridos </w:t>
      </w:r>
      <w:r w:rsidRPr="005906F9">
        <w:t>contados desde la fecha de vencimiento de la última cuota del plan.</w:t>
      </w:r>
    </w:p>
    <w:p w:rsidR="00F05B53" w:rsidRPr="00EF57C1" w:rsidRDefault="00F05B53" w:rsidP="009C7FA4">
      <w:pPr>
        <w:pStyle w:val="Textoindependiente"/>
        <w:ind w:left="1418" w:right="-568"/>
        <w:rPr>
          <w:highlight w:val="yellow"/>
        </w:rPr>
      </w:pPr>
    </w:p>
    <w:p w:rsidR="006C47D1" w:rsidRPr="005906F9" w:rsidRDefault="006C47D1" w:rsidP="009C7FA4">
      <w:pPr>
        <w:pStyle w:val="Textoindependiente"/>
        <w:numPr>
          <w:ilvl w:val="0"/>
          <w:numId w:val="24"/>
        </w:numPr>
        <w:ind w:left="426" w:right="-568"/>
        <w:rPr>
          <w:u w:val="single"/>
        </w:rPr>
      </w:pPr>
      <w:r w:rsidRPr="005906F9">
        <w:rPr>
          <w:u w:val="single"/>
        </w:rPr>
        <w:t xml:space="preserve">Planes con Perfil de cumplimiento </w:t>
      </w:r>
      <w:r w:rsidR="00D75B05">
        <w:rPr>
          <w:u w:val="single"/>
        </w:rPr>
        <w:t xml:space="preserve">del contribuyente </w:t>
      </w:r>
      <w:r w:rsidRPr="005906F9">
        <w:rPr>
          <w:u w:val="single"/>
        </w:rPr>
        <w:t>III:</w:t>
      </w:r>
    </w:p>
    <w:p w:rsidR="005906F9" w:rsidRPr="005906F9" w:rsidRDefault="005906F9" w:rsidP="009C7FA4">
      <w:pPr>
        <w:pStyle w:val="Textoindependiente"/>
        <w:ind w:left="426" w:right="-568"/>
        <w:rPr>
          <w:u w:val="single"/>
        </w:rPr>
      </w:pPr>
    </w:p>
    <w:p w:rsidR="006C47D1" w:rsidRPr="002C1CFD" w:rsidRDefault="006C47D1" w:rsidP="00D75B05">
      <w:pPr>
        <w:pStyle w:val="Textoindependiente"/>
        <w:numPr>
          <w:ilvl w:val="0"/>
          <w:numId w:val="23"/>
        </w:numPr>
        <w:ind w:left="851" w:right="-568" w:hanging="142"/>
        <w:rPr>
          <w:u w:val="single"/>
        </w:rPr>
      </w:pPr>
      <w:r w:rsidRPr="005906F9">
        <w:t>Falta de cancelación de</w:t>
      </w:r>
      <w:r w:rsidR="00D75B05">
        <w:t xml:space="preserve"> </w:t>
      </w:r>
      <w:r w:rsidRPr="005906F9">
        <w:t xml:space="preserve">1 cuota a los 30 días </w:t>
      </w:r>
      <w:r w:rsidR="00D75B05">
        <w:t xml:space="preserve">corridos </w:t>
      </w:r>
      <w:r w:rsidRPr="005906F9">
        <w:t xml:space="preserve">posteriores a </w:t>
      </w:r>
      <w:r w:rsidR="00D75B05">
        <w:t>la fecha de vencimiento de la misma.</w:t>
      </w:r>
    </w:p>
    <w:p w:rsidR="006C47D1" w:rsidRPr="002C1CFD" w:rsidRDefault="006C47D1" w:rsidP="009C7FA4">
      <w:pPr>
        <w:pStyle w:val="Textoindependiente"/>
        <w:ind w:right="-568"/>
        <w:rPr>
          <w:u w:val="single"/>
        </w:rPr>
      </w:pPr>
    </w:p>
    <w:p w:rsidR="006C47D1" w:rsidRPr="002C1CFD" w:rsidRDefault="006C47D1" w:rsidP="009C7FA4">
      <w:pPr>
        <w:pStyle w:val="Textoindependiente"/>
        <w:ind w:right="-568"/>
      </w:pPr>
      <w:r w:rsidRPr="002C1CFD">
        <w:lastRenderedPageBreak/>
        <w:t>Operada la caducidad, se pondrá en aviso al contrib</w:t>
      </w:r>
      <w:r w:rsidR="002C1CFD" w:rsidRPr="002C1CFD">
        <w:t>uyente mediante “</w:t>
      </w:r>
      <w:r w:rsidR="00D75B05">
        <w:t>e</w:t>
      </w:r>
      <w:r w:rsidR="002C1CFD" w:rsidRPr="002C1CFD">
        <w:t>- ventanilla” y la AFIP</w:t>
      </w:r>
      <w:r w:rsidRPr="002C1CFD">
        <w:t xml:space="preserve"> quedar</w:t>
      </w:r>
      <w:r w:rsidR="00D75B05">
        <w:t>á</w:t>
      </w:r>
      <w:r w:rsidRPr="002C1CFD">
        <w:t xml:space="preserve"> habilitad</w:t>
      </w:r>
      <w:r w:rsidR="002C1CFD" w:rsidRPr="002C1CFD">
        <w:t>a</w:t>
      </w:r>
      <w:r w:rsidRPr="002C1CFD">
        <w:t xml:space="preserve"> para disponer el inicio de las acciones judiciales tendientes al cobro mediante le emisión de la boleta de deuda.</w:t>
      </w:r>
    </w:p>
    <w:p w:rsidR="006C47D1" w:rsidRPr="002C1CFD" w:rsidRDefault="006C47D1" w:rsidP="009C7FA4">
      <w:pPr>
        <w:pStyle w:val="Textoindependiente"/>
        <w:ind w:right="-568"/>
      </w:pPr>
    </w:p>
    <w:p w:rsidR="006C47D1" w:rsidRPr="002C1CFD" w:rsidRDefault="006C47D1" w:rsidP="009C7FA4">
      <w:pPr>
        <w:pStyle w:val="Textoindependiente"/>
        <w:tabs>
          <w:tab w:val="left" w:pos="7655"/>
        </w:tabs>
        <w:ind w:right="-568"/>
      </w:pPr>
      <w:r w:rsidRPr="002C1CFD">
        <w:t>Los contribuyentes y/o responsables, una vez declarada la caducidad del plan de facilidades, deberán cancelar el saldo pendiente de deuda mediante transferencia electrónica de fondos.</w:t>
      </w:r>
    </w:p>
    <w:p w:rsidR="006C47D1" w:rsidRPr="002C1CFD" w:rsidRDefault="006C47D1" w:rsidP="009C7FA4">
      <w:pPr>
        <w:pStyle w:val="Textoindependiente"/>
        <w:ind w:right="-568"/>
      </w:pPr>
    </w:p>
    <w:p w:rsidR="006C47D1" w:rsidRPr="00D75B05" w:rsidRDefault="006C47D1" w:rsidP="009C7FA4">
      <w:pPr>
        <w:pStyle w:val="Textoindependiente"/>
        <w:tabs>
          <w:tab w:val="left" w:pos="7797"/>
        </w:tabs>
        <w:ind w:right="-568"/>
      </w:pPr>
      <w:r w:rsidRPr="00D75B05">
        <w:t>Comunicada la caducidad</w:t>
      </w:r>
      <w:r w:rsidR="00021895" w:rsidRPr="00D75B05">
        <w:t xml:space="preserve"> del plan que incluya deuda aduanera</w:t>
      </w:r>
      <w:r w:rsidRPr="00D75B05">
        <w:t xml:space="preserve">, se procederá a la suspensión del deudor en </w:t>
      </w:r>
      <w:r w:rsidR="00940CCB" w:rsidRPr="00D75B05">
        <w:t>los</w:t>
      </w:r>
      <w:r w:rsidRPr="00D75B05">
        <w:t xml:space="preserve"> “Registro </w:t>
      </w:r>
      <w:r w:rsidR="00940CCB" w:rsidRPr="00D75B05">
        <w:t>Especiales Aduaneros</w:t>
      </w:r>
      <w:r w:rsidRPr="00D75B05">
        <w:t>”</w:t>
      </w:r>
      <w:r w:rsidR="00644899" w:rsidRPr="00D75B05">
        <w:t>.</w:t>
      </w:r>
    </w:p>
    <w:p w:rsidR="006C47D1" w:rsidRDefault="006C47D1" w:rsidP="009C7FA4">
      <w:pPr>
        <w:pStyle w:val="Textoindependiente"/>
        <w:ind w:right="-568"/>
        <w:rPr>
          <w:highlight w:val="yellow"/>
          <w:u w:val="single"/>
        </w:rPr>
      </w:pPr>
    </w:p>
    <w:p w:rsidR="000D7744" w:rsidRDefault="000D7744" w:rsidP="009C7FA4">
      <w:pPr>
        <w:pStyle w:val="Textoindependiente"/>
        <w:ind w:right="-568"/>
        <w:rPr>
          <w:highlight w:val="yellow"/>
          <w:u w:val="single"/>
        </w:rPr>
      </w:pPr>
    </w:p>
    <w:p w:rsidR="006C47D1" w:rsidRPr="00E3553B" w:rsidRDefault="006C47D1" w:rsidP="009C7FA4">
      <w:pPr>
        <w:pStyle w:val="Textoindependiente"/>
        <w:numPr>
          <w:ilvl w:val="0"/>
          <w:numId w:val="27"/>
        </w:numPr>
        <w:ind w:right="-568"/>
        <w:rPr>
          <w:b/>
          <w:u w:val="single"/>
        </w:rPr>
      </w:pPr>
      <w:r w:rsidRPr="00E3553B">
        <w:rPr>
          <w:b/>
          <w:u w:val="single"/>
        </w:rPr>
        <w:t>Deudas en discusión administrativa, contencioso administrativa o judicial</w:t>
      </w:r>
    </w:p>
    <w:p w:rsidR="006C47D1" w:rsidRPr="00E3553B" w:rsidRDefault="006C47D1" w:rsidP="009C7FA4">
      <w:pPr>
        <w:pStyle w:val="Textoindependiente"/>
        <w:ind w:right="-568"/>
        <w:rPr>
          <w:b/>
          <w:u w:val="single"/>
        </w:rPr>
      </w:pPr>
    </w:p>
    <w:p w:rsidR="006C47D1" w:rsidRPr="00E3553B" w:rsidRDefault="006C47D1" w:rsidP="009C7FA4">
      <w:pPr>
        <w:pStyle w:val="Textoindependiente"/>
        <w:tabs>
          <w:tab w:val="left" w:pos="8504"/>
        </w:tabs>
        <w:ind w:right="-568"/>
      </w:pPr>
      <w:r w:rsidRPr="00E3553B">
        <w:t>En el caso de incluirse en el plan de facilidades de pago deudas en discusión administrativa, contencioso administrativa o judicial, los contribuyentes y/o responsables (con anterioridad a la fecha de adhesión) deberán allanarse y/o desistir de toda acción y derecho, mediante la presentación del formulario de declaración jurada 408 (nuevo modelo) en la dependencia de la AFIP en la que se encuentren inscriptos</w:t>
      </w:r>
    </w:p>
    <w:p w:rsidR="00BD54BA" w:rsidRPr="00E3553B" w:rsidRDefault="00BD54BA" w:rsidP="009C7FA4">
      <w:pPr>
        <w:pStyle w:val="Textoindependiente"/>
        <w:ind w:right="-568"/>
        <w:rPr>
          <w:u w:val="single"/>
        </w:rPr>
      </w:pPr>
    </w:p>
    <w:p w:rsidR="00D75B05" w:rsidRPr="00D75B05" w:rsidRDefault="00D75B05" w:rsidP="00D75B05">
      <w:pPr>
        <w:pStyle w:val="Textoindependiente"/>
        <w:widowControl w:val="0"/>
        <w:tabs>
          <w:tab w:val="left" w:pos="709"/>
        </w:tabs>
        <w:ind w:right="-568"/>
      </w:pPr>
      <w:r w:rsidRPr="00D75B05">
        <w:t>Para el caso que la solicitud de adhesión resulte anulada, o se declare el rechazo o caducidad del plan de facilidades de pago por cualquier causa, esta Administración Federal proseguirá con las acciones destinadas al cobro de la deuda en cuestión, conforme a la normativa vigente.</w:t>
      </w:r>
    </w:p>
    <w:p w:rsidR="00D75B05" w:rsidRPr="00D75B05" w:rsidRDefault="00D75B05" w:rsidP="00D75B05">
      <w:pPr>
        <w:pStyle w:val="Textoindependiente"/>
        <w:widowControl w:val="0"/>
        <w:tabs>
          <w:tab w:val="left" w:pos="9356"/>
        </w:tabs>
        <w:ind w:right="23"/>
      </w:pPr>
    </w:p>
    <w:p w:rsidR="00D75B05" w:rsidRPr="00D75B05" w:rsidRDefault="00D75B05" w:rsidP="00D75B05">
      <w:pPr>
        <w:pStyle w:val="Textoindependiente"/>
        <w:widowControl w:val="0"/>
        <w:tabs>
          <w:tab w:val="left" w:pos="9356"/>
        </w:tabs>
        <w:ind w:right="-568"/>
      </w:pPr>
      <w:r w:rsidRPr="00D75B05">
        <w:t>La cancelación de los honorarios devengados en ejecuciones fiscales o en juicios en los cuales se discutan deudas incluidas en un plan de de facilidades de pago del presente régimen, podrá efectuarse en cuotas, que no podrán exceder de doce (12), no devengarán intereses y su importe mínimo será de PESOS QUINIENTOS ($500.-).</w:t>
      </w:r>
    </w:p>
    <w:p w:rsidR="000A3CC8" w:rsidRDefault="000A3CC8" w:rsidP="009C7FA4">
      <w:pPr>
        <w:pStyle w:val="Textoindependiente"/>
        <w:ind w:right="-568"/>
      </w:pPr>
    </w:p>
    <w:p w:rsidR="000A3CC8" w:rsidRDefault="000A3CC8" w:rsidP="009C7FA4">
      <w:pPr>
        <w:pStyle w:val="Textoindependiente"/>
        <w:ind w:right="-568"/>
      </w:pPr>
    </w:p>
    <w:p w:rsidR="000A3CC8" w:rsidRPr="000A3CC8" w:rsidRDefault="000A3CC8" w:rsidP="009C7FA4">
      <w:pPr>
        <w:pStyle w:val="Textoindependiente"/>
        <w:numPr>
          <w:ilvl w:val="0"/>
          <w:numId w:val="27"/>
        </w:numPr>
        <w:ind w:right="-568"/>
        <w:rPr>
          <w:b/>
          <w:u w:val="single"/>
        </w:rPr>
      </w:pPr>
      <w:r w:rsidRPr="000A3CC8">
        <w:rPr>
          <w:b/>
          <w:u w:val="single"/>
        </w:rPr>
        <w:t>Beneficios</w:t>
      </w:r>
    </w:p>
    <w:p w:rsidR="006C47D1" w:rsidRDefault="006C47D1" w:rsidP="009C7FA4">
      <w:pPr>
        <w:pStyle w:val="Textoindependiente"/>
        <w:ind w:left="1304" w:right="-568"/>
        <w:rPr>
          <w:highlight w:val="yellow"/>
        </w:rPr>
      </w:pPr>
    </w:p>
    <w:p w:rsidR="000A3CC8" w:rsidRPr="003D73ED" w:rsidRDefault="003D73ED" w:rsidP="009C7FA4">
      <w:pPr>
        <w:pStyle w:val="Textoindependiente"/>
        <w:ind w:right="-568"/>
      </w:pPr>
      <w:r w:rsidRPr="003D73ED">
        <w:t>La cancelación de las deudas en los términos del presente régimen de facilidades de pago, habilita al responsable para:</w:t>
      </w:r>
    </w:p>
    <w:p w:rsidR="003D73ED" w:rsidRPr="003D73ED" w:rsidRDefault="003D73ED" w:rsidP="009C7FA4">
      <w:pPr>
        <w:pStyle w:val="Textoindependiente"/>
        <w:ind w:right="-568"/>
      </w:pPr>
    </w:p>
    <w:p w:rsidR="003D73ED" w:rsidRPr="003D73ED" w:rsidRDefault="003D73ED" w:rsidP="009C7FA4">
      <w:pPr>
        <w:pStyle w:val="Textoindependiente"/>
        <w:numPr>
          <w:ilvl w:val="0"/>
          <w:numId w:val="33"/>
        </w:numPr>
        <w:ind w:right="-568"/>
      </w:pPr>
      <w:r w:rsidRPr="003D73ED">
        <w:t xml:space="preserve">Levantar la suspensión que por falta de pago hubiera dispuesto el área aduanera en los “Registros Especiales Aduaneros”. </w:t>
      </w:r>
    </w:p>
    <w:p w:rsidR="003D73ED" w:rsidRPr="003D73ED" w:rsidRDefault="003D73ED" w:rsidP="009C7FA4">
      <w:pPr>
        <w:pStyle w:val="Textoindependiente"/>
        <w:numPr>
          <w:ilvl w:val="0"/>
          <w:numId w:val="33"/>
        </w:numPr>
        <w:ind w:right="-568"/>
      </w:pPr>
      <w:r w:rsidRPr="003D73ED">
        <w:t>Usufructuar el beneficio de la reducción de las contribuciones con destino al Régimen Nacional de la Seguridad Social.</w:t>
      </w:r>
    </w:p>
    <w:p w:rsidR="003D73ED" w:rsidRPr="003D73ED" w:rsidRDefault="003D73ED" w:rsidP="009C7FA4">
      <w:pPr>
        <w:pStyle w:val="Textoindependiente"/>
        <w:numPr>
          <w:ilvl w:val="0"/>
          <w:numId w:val="33"/>
        </w:numPr>
        <w:ind w:right="-568"/>
      </w:pPr>
      <w:r w:rsidRPr="003D73ED">
        <w:t xml:space="preserve">Considerar regularizado el importe adeudado.  </w:t>
      </w:r>
    </w:p>
    <w:p w:rsidR="000A3CC8" w:rsidRPr="008C34CF" w:rsidRDefault="000A3CC8" w:rsidP="009C7FA4">
      <w:pPr>
        <w:pStyle w:val="Textoindependiente"/>
        <w:ind w:left="1304" w:right="-568"/>
      </w:pPr>
    </w:p>
    <w:p w:rsidR="008C34CF" w:rsidRPr="008C34CF" w:rsidRDefault="008C34CF" w:rsidP="009C7FA4">
      <w:pPr>
        <w:pStyle w:val="Textoindependiente"/>
        <w:ind w:right="-568"/>
      </w:pPr>
      <w:r w:rsidRPr="008C34CF">
        <w:t xml:space="preserve">La anulación del plan, el decaimiento o caducidad, determinará la pérdida de los beneficios indicados precedentemente, a partir de la notificación de la resolución respectiva. </w:t>
      </w:r>
    </w:p>
    <w:p w:rsidR="008C34CF" w:rsidRPr="008C34CF" w:rsidRDefault="008C34CF" w:rsidP="009C7FA4">
      <w:pPr>
        <w:pStyle w:val="Textoindependiente"/>
        <w:ind w:left="142" w:right="-568"/>
      </w:pPr>
    </w:p>
    <w:p w:rsidR="008C34CF" w:rsidRPr="008C34CF" w:rsidRDefault="008C34CF" w:rsidP="009C7FA4">
      <w:pPr>
        <w:pStyle w:val="Textoindependiente"/>
        <w:ind w:left="142" w:right="-568"/>
      </w:pPr>
    </w:p>
    <w:p w:rsidR="008C34CF" w:rsidRPr="008C34CF" w:rsidRDefault="008C34CF" w:rsidP="009C7FA4">
      <w:pPr>
        <w:pStyle w:val="Textoindependiente"/>
        <w:numPr>
          <w:ilvl w:val="0"/>
          <w:numId w:val="27"/>
        </w:numPr>
        <w:ind w:right="-568"/>
        <w:rPr>
          <w:b/>
          <w:u w:val="single"/>
        </w:rPr>
      </w:pPr>
      <w:r w:rsidRPr="008C34CF">
        <w:rPr>
          <w:b/>
          <w:u w:val="single"/>
        </w:rPr>
        <w:t>Vigencia</w:t>
      </w:r>
    </w:p>
    <w:p w:rsidR="008C34CF" w:rsidRPr="008C34CF" w:rsidRDefault="008C34CF" w:rsidP="009C7FA4">
      <w:pPr>
        <w:pStyle w:val="Textoindependiente"/>
        <w:ind w:left="142" w:right="-568"/>
      </w:pPr>
    </w:p>
    <w:p w:rsidR="008C34CF" w:rsidRPr="008C34CF" w:rsidRDefault="008C34CF" w:rsidP="005C7025">
      <w:pPr>
        <w:pStyle w:val="Textoindependiente"/>
        <w:ind w:right="-568"/>
      </w:pPr>
      <w:r w:rsidRPr="008C34CF">
        <w:t>Las disposiciones de la presente serán de aplicación a partir del 02 de Julio de 2018.</w:t>
      </w:r>
    </w:p>
    <w:p w:rsidR="008C34CF" w:rsidRPr="008C34CF" w:rsidRDefault="008C34CF" w:rsidP="009C7FA4">
      <w:pPr>
        <w:pStyle w:val="Textoindependiente"/>
        <w:ind w:left="142" w:right="-568"/>
      </w:pPr>
    </w:p>
    <w:p w:rsidR="008C34CF" w:rsidRPr="008C34CF" w:rsidRDefault="008C34CF" w:rsidP="009C7FA4">
      <w:pPr>
        <w:pStyle w:val="Textoindependiente"/>
        <w:ind w:left="142" w:right="-568"/>
      </w:pPr>
    </w:p>
    <w:p w:rsidR="005C7025" w:rsidRDefault="003A3111" w:rsidP="009C7FA4">
      <w:pPr>
        <w:pStyle w:val="Textoindependiente"/>
        <w:ind w:left="142" w:right="-568"/>
        <w:jc w:val="left"/>
      </w:pPr>
      <w:r w:rsidRPr="008C34CF">
        <w:t xml:space="preserve"> </w:t>
      </w:r>
    </w:p>
    <w:p w:rsidR="006C47D1" w:rsidRPr="008C34CF" w:rsidRDefault="005C7025" w:rsidP="005C7025">
      <w:pPr>
        <w:pStyle w:val="Textoindependiente"/>
        <w:ind w:right="-568"/>
        <w:jc w:val="left"/>
      </w:pPr>
      <w:r>
        <w:t>Ciudad de Buenos Aires, 2</w:t>
      </w:r>
      <w:r w:rsidR="008C34CF" w:rsidRPr="008C34CF">
        <w:t>4 de Septiembre de 2018.</w:t>
      </w:r>
    </w:p>
    <w:p w:rsidR="00735D3C" w:rsidRPr="008C34CF" w:rsidRDefault="00735D3C" w:rsidP="00735D3C">
      <w:pPr>
        <w:pStyle w:val="Textoindependiente"/>
      </w:pPr>
    </w:p>
    <w:p w:rsidR="00735D3C" w:rsidRPr="00BB55B0" w:rsidRDefault="00BB55B0" w:rsidP="0005275A">
      <w:pPr>
        <w:spacing w:before="105" w:after="105"/>
        <w:ind w:right="105"/>
        <w:jc w:val="center"/>
        <w:rPr>
          <w:b/>
          <w:color w:val="000000"/>
          <w:szCs w:val="24"/>
          <w:u w:val="single"/>
          <w:lang w:val="es-ES"/>
        </w:rPr>
      </w:pPr>
      <w:r w:rsidRPr="00BB55B0">
        <w:rPr>
          <w:b/>
          <w:color w:val="000000"/>
          <w:szCs w:val="24"/>
          <w:u w:val="single"/>
          <w:lang w:val="es-ES"/>
        </w:rPr>
        <w:t>ANEXO I</w:t>
      </w:r>
    </w:p>
    <w:p w:rsidR="00735D3C" w:rsidRDefault="00735D3C" w:rsidP="00735D3C">
      <w:pPr>
        <w:pStyle w:val="textocentradonegritanovedades"/>
        <w:spacing w:before="240" w:beforeAutospacing="0" w:afterAutospacing="0"/>
        <w:ind w:left="105" w:right="105"/>
        <w:jc w:val="center"/>
        <w:rPr>
          <w:b/>
          <w:bCs/>
          <w:color w:val="000000"/>
        </w:rPr>
      </w:pPr>
      <w:r w:rsidRPr="00BB55B0">
        <w:rPr>
          <w:b/>
          <w:bCs/>
          <w:color w:val="000000"/>
        </w:rPr>
        <w:t>CANTIDAD DE PLANES, CUOTAS Y TASA DE INTERÉS DE FINANCIACIÓN</w:t>
      </w:r>
    </w:p>
    <w:p w:rsidR="0031270B" w:rsidRPr="00BB55B0" w:rsidRDefault="0031270B" w:rsidP="00735D3C">
      <w:pPr>
        <w:pStyle w:val="textocentradonegritanovedades"/>
        <w:spacing w:before="240" w:beforeAutospacing="0" w:afterAutospacing="0"/>
        <w:ind w:left="105" w:right="105"/>
        <w:jc w:val="center"/>
        <w:rPr>
          <w:b/>
          <w:bCs/>
          <w:color w:val="000000"/>
        </w:rPr>
      </w:pPr>
    </w:p>
    <w:p w:rsidR="0031270B" w:rsidRPr="00630736" w:rsidRDefault="00735D3C" w:rsidP="00735D3C">
      <w:pPr>
        <w:pStyle w:val="textocentradonegritanovedades"/>
        <w:spacing w:before="240" w:beforeAutospacing="0" w:afterAutospacing="0"/>
        <w:ind w:left="105" w:right="105"/>
        <w:jc w:val="center"/>
        <w:rPr>
          <w:b/>
          <w:bCs/>
          <w:color w:val="000000"/>
          <w:sz w:val="22"/>
          <w:szCs w:val="22"/>
        </w:rPr>
      </w:pPr>
      <w:r w:rsidRPr="00630736">
        <w:rPr>
          <w:b/>
          <w:bCs/>
          <w:color w:val="000000"/>
          <w:sz w:val="22"/>
          <w:szCs w:val="22"/>
          <w:u w:val="single"/>
        </w:rPr>
        <w:t>MICRO Y PEQUEÑAS EMPRESAS</w:t>
      </w:r>
      <w:r w:rsidR="0031270B" w:rsidRPr="00630736">
        <w:rPr>
          <w:b/>
          <w:bCs/>
          <w:color w:val="000000"/>
          <w:sz w:val="22"/>
          <w:szCs w:val="22"/>
          <w:u w:val="single"/>
        </w:rPr>
        <w:br/>
      </w:r>
    </w:p>
    <w:tbl>
      <w:tblPr>
        <w:tblpPr w:leftFromText="141" w:rightFromText="141" w:vertAnchor="text" w:horzAnchor="margin" w:tblpX="-711" w:tblpY="26"/>
        <w:tblW w:w="10135" w:type="dxa"/>
        <w:tblCellMar>
          <w:left w:w="70" w:type="dxa"/>
          <w:right w:w="70" w:type="dxa"/>
        </w:tblCellMar>
        <w:tblLook w:val="04A0"/>
      </w:tblPr>
      <w:tblGrid>
        <w:gridCol w:w="1207"/>
        <w:gridCol w:w="1835"/>
        <w:gridCol w:w="1311"/>
        <w:gridCol w:w="956"/>
        <w:gridCol w:w="960"/>
        <w:gridCol w:w="1031"/>
        <w:gridCol w:w="2835"/>
      </w:tblGrid>
      <w:tr w:rsidR="00735D3C" w:rsidRPr="00BB55B0" w:rsidTr="00984AFF">
        <w:trPr>
          <w:trHeight w:val="375"/>
        </w:trPr>
        <w:tc>
          <w:tcPr>
            <w:tcW w:w="3042" w:type="dxa"/>
            <w:gridSpan w:val="2"/>
            <w:vMerge w:val="restart"/>
            <w:tcBorders>
              <w:top w:val="single" w:sz="12" w:space="0" w:color="000000"/>
              <w:left w:val="single" w:sz="12" w:space="0" w:color="000000"/>
              <w:bottom w:val="single" w:sz="8" w:space="0" w:color="000000"/>
              <w:right w:val="single" w:sz="8"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Tipo de deuda</w:t>
            </w:r>
          </w:p>
        </w:tc>
        <w:tc>
          <w:tcPr>
            <w:tcW w:w="1311"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Perfil de cumplimiento</w:t>
            </w:r>
          </w:p>
        </w:tc>
        <w:tc>
          <w:tcPr>
            <w:tcW w:w="956"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máxima de planes</w:t>
            </w:r>
          </w:p>
        </w:tc>
        <w:tc>
          <w:tcPr>
            <w:tcW w:w="96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de</w:t>
            </w:r>
            <w:r w:rsidR="00A13539">
              <w:rPr>
                <w:rFonts w:ascii="Arial" w:hAnsi="Arial" w:cs="Arial"/>
                <w:b/>
                <w:bCs/>
                <w:color w:val="000000"/>
                <w:sz w:val="18"/>
                <w:szCs w:val="18"/>
                <w:lang w:val="es-ES"/>
              </w:rPr>
              <w:t xml:space="preserve"> </w:t>
            </w:r>
            <w:r w:rsidRPr="00A13539">
              <w:rPr>
                <w:rFonts w:ascii="Arial" w:hAnsi="Arial" w:cs="Arial"/>
                <w:b/>
                <w:bCs/>
                <w:color w:val="000000"/>
                <w:sz w:val="18"/>
                <w:szCs w:val="18"/>
                <w:lang w:val="es-ES"/>
              </w:rPr>
              <w:t>cuotas</w:t>
            </w:r>
          </w:p>
        </w:tc>
        <w:tc>
          <w:tcPr>
            <w:tcW w:w="3866" w:type="dxa"/>
            <w:gridSpan w:val="2"/>
            <w:tcBorders>
              <w:top w:val="single" w:sz="12" w:space="0" w:color="000000"/>
              <w:left w:val="nil"/>
              <w:bottom w:val="single" w:sz="8" w:space="0" w:color="000000"/>
              <w:right w:val="single" w:sz="12"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efectiva mensual de financiamiento</w:t>
            </w:r>
          </w:p>
        </w:tc>
      </w:tr>
      <w:tr w:rsidR="00735D3C" w:rsidRPr="00BB55B0" w:rsidTr="00984AFF">
        <w:trPr>
          <w:trHeight w:val="375"/>
        </w:trPr>
        <w:tc>
          <w:tcPr>
            <w:tcW w:w="3042" w:type="dxa"/>
            <w:gridSpan w:val="2"/>
            <w:vMerge/>
            <w:tcBorders>
              <w:top w:val="single" w:sz="12" w:space="0" w:color="000000"/>
              <w:left w:val="single" w:sz="12"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1311"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956"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960"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1031" w:type="dxa"/>
            <w:vMerge w:val="restart"/>
            <w:tcBorders>
              <w:top w:val="nil"/>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BA219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para julio 2018</w:t>
            </w:r>
          </w:p>
        </w:tc>
        <w:tc>
          <w:tcPr>
            <w:tcW w:w="2835" w:type="dxa"/>
            <w:tcBorders>
              <w:top w:val="nil"/>
              <w:left w:val="nil"/>
              <w:bottom w:val="nil"/>
              <w:right w:val="single" w:sz="12" w:space="0" w:color="000000"/>
            </w:tcBorders>
            <w:shd w:val="clear" w:color="000000" w:fill="A6A6A6"/>
            <w:vAlign w:val="center"/>
            <w:hideMark/>
          </w:tcPr>
          <w:p w:rsidR="00735D3C" w:rsidRPr="00A13539" w:rsidRDefault="00735D3C" w:rsidP="00A13539">
            <w:pPr>
              <w:jc w:val="center"/>
              <w:rPr>
                <w:rFonts w:ascii="Arial" w:hAnsi="Arial" w:cs="Arial"/>
                <w:b/>
                <w:bCs/>
                <w:color w:val="000000"/>
                <w:sz w:val="18"/>
                <w:szCs w:val="18"/>
                <w:lang w:val="es-ES"/>
              </w:rPr>
            </w:pPr>
          </w:p>
        </w:tc>
      </w:tr>
      <w:tr w:rsidR="00735D3C" w:rsidRPr="00BB55B0" w:rsidTr="00984AFF">
        <w:trPr>
          <w:trHeight w:val="709"/>
        </w:trPr>
        <w:tc>
          <w:tcPr>
            <w:tcW w:w="3042" w:type="dxa"/>
            <w:gridSpan w:val="2"/>
            <w:vMerge/>
            <w:tcBorders>
              <w:top w:val="single" w:sz="12" w:space="0" w:color="000000"/>
              <w:left w:val="single" w:sz="12"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1311"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956"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960"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1031" w:type="dxa"/>
            <w:vMerge/>
            <w:tcBorders>
              <w:top w:val="nil"/>
              <w:left w:val="single" w:sz="8" w:space="0" w:color="000000"/>
              <w:bottom w:val="single" w:sz="8" w:space="0" w:color="000000"/>
              <w:right w:val="single" w:sz="8" w:space="0" w:color="000000"/>
            </w:tcBorders>
            <w:vAlign w:val="center"/>
            <w:hideMark/>
          </w:tcPr>
          <w:p w:rsidR="00735D3C" w:rsidRPr="00A13539" w:rsidRDefault="00735D3C" w:rsidP="00BA219C">
            <w:pPr>
              <w:rPr>
                <w:rFonts w:ascii="Arial" w:hAnsi="Arial" w:cs="Arial"/>
                <w:b/>
                <w:bCs/>
                <w:color w:val="000000"/>
                <w:sz w:val="18"/>
                <w:szCs w:val="18"/>
                <w:lang w:val="es-ES"/>
              </w:rPr>
            </w:pPr>
          </w:p>
        </w:tc>
        <w:tc>
          <w:tcPr>
            <w:tcW w:w="2835" w:type="dxa"/>
            <w:tcBorders>
              <w:top w:val="nil"/>
              <w:left w:val="nil"/>
              <w:bottom w:val="single" w:sz="8" w:space="0" w:color="000000"/>
              <w:right w:val="single" w:sz="12" w:space="0" w:color="000000"/>
            </w:tcBorders>
            <w:shd w:val="clear" w:color="000000" w:fill="A6A6A6"/>
            <w:vAlign w:val="center"/>
            <w:hideMark/>
          </w:tcPr>
          <w:p w:rsidR="00735D3C" w:rsidRPr="00A13539" w:rsidRDefault="00A13539" w:rsidP="00A13539">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Julio de 2018 y siguientes (*)</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8" w:anchor="nota01" w:tgtFrame="_self" w:history="1">
              <w:r w:rsidR="00735D3C" w:rsidRPr="001D76E2">
                <w:rPr>
                  <w:rFonts w:ascii="Arial" w:hAnsi="Arial" w:cs="Arial"/>
                  <w:b/>
                  <w:sz w:val="18"/>
                  <w:szCs w:val="18"/>
                  <w:lang w:val="es-ES"/>
                </w:rPr>
                <w:t>General (1)</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BA219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BA219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207"/>
        </w:trPr>
        <w:tc>
          <w:tcPr>
            <w:tcW w:w="1207"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sz w:val="18"/>
                <w:szCs w:val="18"/>
                <w:lang w:val="es-ES"/>
              </w:rPr>
            </w:pPr>
            <w:hyperlink r:id="rId9" w:anchor="nota02" w:tgtFrame="_self" w:history="1">
              <w:r w:rsidR="00735D3C" w:rsidRPr="001D76E2">
                <w:rPr>
                  <w:rFonts w:ascii="Arial" w:hAnsi="Arial" w:cs="Arial"/>
                  <w:b/>
                  <w:sz w:val="18"/>
                  <w:szCs w:val="18"/>
                  <w:lang w:val="es-ES"/>
                </w:rPr>
                <w:t>Zona de emergencia y/o desastre (2</w:t>
              </w:r>
              <w:r w:rsidR="00735D3C" w:rsidRPr="001D76E2">
                <w:rPr>
                  <w:rFonts w:ascii="Arial" w:hAnsi="Arial" w:cs="Arial"/>
                  <w:sz w:val="18"/>
                  <w:szCs w:val="18"/>
                  <w:lang w:val="es-ES"/>
                </w:rPr>
                <w:t>)</w:t>
              </w:r>
            </w:hyperlink>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Obligaciones impositivas y de los recursos de la seguridad social (excepto aportes personales de empleados en relación de dependencia) de contribuyentes en áreas afectadas por emergencias o desastres. 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31"/>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293"/>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Deudas por aportes personales de trabajadores en relación de dependencia de contribuyentes en áreas afectadas por emergencias o desastres. 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31"/>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Deuda por percepciones y retenciones impositivas de contribuyentes en áreas afectadas por emergencias o desastres. 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1207" w:type="dxa"/>
            <w:vMerge/>
            <w:tcBorders>
              <w:top w:val="nil"/>
              <w:left w:val="single" w:sz="12" w:space="0" w:color="000000"/>
              <w:bottom w:val="single" w:sz="8" w:space="0" w:color="000000"/>
              <w:right w:val="single" w:sz="8" w:space="0" w:color="000000"/>
            </w:tcBorders>
            <w:vAlign w:val="center"/>
            <w:hideMark/>
          </w:tcPr>
          <w:p w:rsidR="00735D3C" w:rsidRPr="0031270B" w:rsidRDefault="00735D3C" w:rsidP="00BA219C">
            <w:pPr>
              <w:rPr>
                <w:rFonts w:ascii="Arial" w:hAnsi="Arial" w:cs="Arial"/>
                <w:color w:val="0000FF"/>
                <w:sz w:val="20"/>
                <w:lang w:val="es-ES"/>
              </w:rPr>
            </w:pPr>
          </w:p>
        </w:tc>
        <w:tc>
          <w:tcPr>
            <w:tcW w:w="1835"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10" w:anchor="nota03" w:tgtFrame="_self" w:history="1">
              <w:r w:rsidR="00735D3C" w:rsidRPr="001D76E2">
                <w:rPr>
                  <w:rFonts w:ascii="Arial" w:hAnsi="Arial" w:cs="Arial"/>
                  <w:b/>
                  <w:sz w:val="18"/>
                  <w:szCs w:val="18"/>
                  <w:lang w:val="es-ES"/>
                </w:rPr>
                <w:t>Dación en pago (3)</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11" w:anchor="nota04" w:tgtFrame="_self" w:history="1">
              <w:r w:rsidR="00735D3C" w:rsidRPr="001D76E2">
                <w:rPr>
                  <w:rFonts w:ascii="Arial" w:hAnsi="Arial" w:cs="Arial"/>
                  <w:b/>
                  <w:sz w:val="18"/>
                  <w:szCs w:val="18"/>
                  <w:lang w:val="es-ES"/>
                </w:rPr>
                <w:t>Autónomos y régimen simplificado (4)</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12" w:anchor="nota05" w:tgtFrame="_self" w:history="1">
              <w:r w:rsidR="00735D3C" w:rsidRPr="001D76E2">
                <w:rPr>
                  <w:rFonts w:ascii="Arial" w:hAnsi="Arial" w:cs="Arial"/>
                  <w:b/>
                  <w:sz w:val="18"/>
                  <w:szCs w:val="18"/>
                  <w:lang w:val="es-ES"/>
                </w:rPr>
                <w:t>Aduanera (5)</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13" w:anchor="nota06" w:tgtFrame="_self" w:history="1">
              <w:r w:rsidR="00735D3C" w:rsidRPr="001D76E2">
                <w:rPr>
                  <w:rFonts w:ascii="Arial" w:hAnsi="Arial" w:cs="Arial"/>
                  <w:b/>
                  <w:sz w:val="18"/>
                  <w:szCs w:val="18"/>
                  <w:lang w:val="es-ES"/>
                </w:rPr>
                <w:t>Gestión judicial (6)</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BA219C">
            <w:pPr>
              <w:rPr>
                <w:rFonts w:ascii="Arial" w:hAnsi="Arial" w:cs="Arial"/>
                <w:b/>
                <w:sz w:val="18"/>
                <w:szCs w:val="18"/>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960"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83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0"/>
        </w:trPr>
        <w:tc>
          <w:tcPr>
            <w:tcW w:w="3042"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735D3C" w:rsidRPr="001D76E2" w:rsidRDefault="00B34396" w:rsidP="00BA219C">
            <w:pPr>
              <w:jc w:val="center"/>
              <w:rPr>
                <w:rFonts w:ascii="Arial" w:hAnsi="Arial" w:cs="Arial"/>
                <w:b/>
                <w:sz w:val="18"/>
                <w:szCs w:val="18"/>
                <w:lang w:val="es-ES"/>
              </w:rPr>
            </w:pPr>
            <w:hyperlink r:id="rId14" w:anchor="nota07" w:tgtFrame="_self" w:history="1">
              <w:r w:rsidR="00735D3C" w:rsidRPr="001D76E2">
                <w:rPr>
                  <w:rFonts w:ascii="Arial" w:hAnsi="Arial" w:cs="Arial"/>
                  <w:b/>
                  <w:sz w:val="18"/>
                  <w:szCs w:val="18"/>
                  <w:lang w:val="es-ES"/>
                </w:rPr>
                <w:t>Ajuste de fiscalización (7)</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56"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960"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1031"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835" w:type="dxa"/>
            <w:vMerge w:val="restart"/>
            <w:tcBorders>
              <w:top w:val="nil"/>
              <w:left w:val="single" w:sz="8" w:space="0" w:color="000000"/>
              <w:bottom w:val="single" w:sz="12" w:space="0" w:color="000000"/>
              <w:right w:val="single" w:sz="12"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60"/>
        </w:trPr>
        <w:tc>
          <w:tcPr>
            <w:tcW w:w="3042"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BA219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56"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960"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03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2835"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BA219C">
            <w:pPr>
              <w:rPr>
                <w:rFonts w:ascii="Verdana" w:hAnsi="Verdana" w:cs="Arial"/>
                <w:color w:val="000000"/>
                <w:sz w:val="15"/>
                <w:szCs w:val="15"/>
                <w:lang w:val="es-ES"/>
              </w:rPr>
            </w:pPr>
          </w:p>
        </w:tc>
      </w:tr>
      <w:tr w:rsidR="00735D3C" w:rsidRPr="00BB55B0" w:rsidTr="00984AFF">
        <w:trPr>
          <w:trHeight w:val="260"/>
        </w:trPr>
        <w:tc>
          <w:tcPr>
            <w:tcW w:w="3042"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BA219C">
            <w:pPr>
              <w:rPr>
                <w:rFonts w:ascii="Arial" w:hAnsi="Arial" w:cs="Arial"/>
                <w:color w:val="0000FF"/>
                <w:sz w:val="20"/>
                <w:u w:val="single"/>
                <w:lang w:val="es-ES"/>
              </w:rPr>
            </w:pPr>
          </w:p>
        </w:tc>
        <w:tc>
          <w:tcPr>
            <w:tcW w:w="1311" w:type="dxa"/>
            <w:tcBorders>
              <w:top w:val="nil"/>
              <w:left w:val="nil"/>
              <w:bottom w:val="single" w:sz="12" w:space="0" w:color="000000"/>
              <w:right w:val="single" w:sz="8" w:space="0" w:color="000000"/>
            </w:tcBorders>
            <w:shd w:val="clear" w:color="auto" w:fill="auto"/>
            <w:vAlign w:val="center"/>
            <w:hideMark/>
          </w:tcPr>
          <w:p w:rsidR="00735D3C" w:rsidRPr="00BB55B0" w:rsidRDefault="00735D3C" w:rsidP="00BA219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56"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960"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103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BA219C">
            <w:pPr>
              <w:rPr>
                <w:rFonts w:ascii="Verdana" w:hAnsi="Verdana" w:cs="Arial"/>
                <w:color w:val="000000"/>
                <w:sz w:val="15"/>
                <w:szCs w:val="15"/>
                <w:lang w:val="es-ES"/>
              </w:rPr>
            </w:pPr>
          </w:p>
        </w:tc>
        <w:tc>
          <w:tcPr>
            <w:tcW w:w="2835"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BA219C">
            <w:pPr>
              <w:rPr>
                <w:rFonts w:ascii="Verdana" w:hAnsi="Verdana" w:cs="Arial"/>
                <w:color w:val="000000"/>
                <w:sz w:val="15"/>
                <w:szCs w:val="15"/>
                <w:lang w:val="es-ES"/>
              </w:rPr>
            </w:pPr>
          </w:p>
        </w:tc>
      </w:tr>
    </w:tbl>
    <w:p w:rsidR="006C47D1" w:rsidRPr="0031270B" w:rsidRDefault="006C47D1" w:rsidP="006C47D1">
      <w:pPr>
        <w:pStyle w:val="Textoindependiente"/>
        <w:ind w:left="4471"/>
        <w:rPr>
          <w:sz w:val="18"/>
          <w:szCs w:val="18"/>
        </w:rPr>
      </w:pPr>
    </w:p>
    <w:p w:rsidR="00037285" w:rsidRPr="0031270B" w:rsidRDefault="00037285" w:rsidP="00037285">
      <w:pPr>
        <w:pStyle w:val="Textoindependiente"/>
        <w:ind w:right="-1"/>
        <w:rPr>
          <w:sz w:val="18"/>
          <w:szCs w:val="18"/>
          <w:u w:val="single"/>
        </w:rPr>
      </w:pPr>
    </w:p>
    <w:p w:rsidR="00037285" w:rsidRPr="0031270B" w:rsidRDefault="00037285" w:rsidP="00037285">
      <w:pPr>
        <w:pStyle w:val="Textoindependiente"/>
        <w:ind w:left="-709" w:right="-852"/>
        <w:rPr>
          <w:rFonts w:ascii="Arial" w:hAnsi="Arial" w:cs="Arial"/>
          <w:b/>
          <w:sz w:val="18"/>
          <w:szCs w:val="18"/>
        </w:rPr>
      </w:pPr>
      <w:r w:rsidRPr="0031270B">
        <w:rPr>
          <w:rFonts w:ascii="Arial" w:hAnsi="Arial" w:cs="Arial"/>
          <w:b/>
          <w:sz w:val="18"/>
          <w:szCs w:val="18"/>
        </w:rPr>
        <w:t xml:space="preserve">(*) </w:t>
      </w:r>
      <w:r w:rsidRPr="0031270B">
        <w:rPr>
          <w:rFonts w:ascii="Arial" w:hAnsi="Arial" w:cs="Arial"/>
          <w:b/>
          <w:bCs/>
          <w:color w:val="000000"/>
          <w:sz w:val="18"/>
          <w:szCs w:val="18"/>
          <w:lang w:val="es-ES"/>
        </w:rPr>
        <w:t>Tasa efectiva mensual equivalente a la Tasa Nominal Anual (TNA) Canal electrónico para depósitos a plazo fijo en pesos en el Banco de la Nación Argentina a ciento ochenta (180) días, vigente para el día 20 del mes inmediato anterior al correspondiente a la consolidación del plan, más los porcentajes nominales anuales que se indican en cada caso</w:t>
      </w:r>
    </w:p>
    <w:p w:rsidR="00BB55B0" w:rsidRDefault="00BB55B0" w:rsidP="006C47D1">
      <w:pPr>
        <w:pStyle w:val="Textoindependiente"/>
        <w:ind w:left="1353"/>
      </w:pPr>
    </w:p>
    <w:p w:rsidR="00BB55B0" w:rsidRDefault="00BB55B0" w:rsidP="006C47D1">
      <w:pPr>
        <w:pStyle w:val="Textoindependiente"/>
        <w:ind w:left="1353"/>
      </w:pPr>
    </w:p>
    <w:p w:rsidR="00BB55B0" w:rsidRDefault="00BB55B0" w:rsidP="006C47D1">
      <w:pPr>
        <w:pStyle w:val="Textoindependiente"/>
        <w:ind w:left="1353"/>
      </w:pPr>
    </w:p>
    <w:p w:rsidR="0031270B" w:rsidRDefault="0031270B" w:rsidP="006C47D1">
      <w:pPr>
        <w:pStyle w:val="Textoindependiente"/>
        <w:ind w:left="1353"/>
      </w:pPr>
    </w:p>
    <w:p w:rsidR="0031270B" w:rsidRPr="00BB55B0" w:rsidRDefault="0031270B" w:rsidP="006C47D1">
      <w:pPr>
        <w:pStyle w:val="Textoindependiente"/>
        <w:ind w:left="1353"/>
      </w:pPr>
    </w:p>
    <w:p w:rsidR="00BB55B0" w:rsidRPr="00BB55B0" w:rsidRDefault="00BB55B0" w:rsidP="006C47D1">
      <w:pPr>
        <w:pStyle w:val="Textoindependiente"/>
        <w:ind w:left="1353"/>
      </w:pPr>
    </w:p>
    <w:p w:rsidR="00BB55B0" w:rsidRPr="00BB55B0" w:rsidRDefault="00BB55B0" w:rsidP="00BB55B0">
      <w:pPr>
        <w:pStyle w:val="Textoindependiente"/>
      </w:pPr>
    </w:p>
    <w:p w:rsidR="00735D3C" w:rsidRPr="00630736" w:rsidRDefault="00735D3C" w:rsidP="00BB55B0">
      <w:pPr>
        <w:jc w:val="center"/>
        <w:rPr>
          <w:b/>
          <w:bCs/>
          <w:color w:val="000000"/>
          <w:sz w:val="22"/>
          <w:szCs w:val="22"/>
          <w:u w:val="single"/>
          <w:lang w:val="es-ES"/>
        </w:rPr>
      </w:pPr>
      <w:r w:rsidRPr="00630736">
        <w:rPr>
          <w:b/>
          <w:bCs/>
          <w:color w:val="000000"/>
          <w:sz w:val="22"/>
          <w:szCs w:val="22"/>
          <w:u w:val="single"/>
          <w:lang w:val="es-ES"/>
        </w:rPr>
        <w:t>RESTO DE CONTRIBUYENTES SIN GARANTÍA</w:t>
      </w:r>
    </w:p>
    <w:p w:rsidR="00BB55B0" w:rsidRPr="00BB55B0" w:rsidRDefault="00BB55B0" w:rsidP="00BB55B0">
      <w:pPr>
        <w:jc w:val="center"/>
        <w:rPr>
          <w:rFonts w:ascii="Verdana" w:hAnsi="Verdana" w:cs="Arial"/>
          <w:b/>
          <w:bCs/>
          <w:color w:val="000000"/>
          <w:sz w:val="16"/>
          <w:szCs w:val="16"/>
          <w:lang w:val="es-ES"/>
        </w:rPr>
      </w:pPr>
    </w:p>
    <w:p w:rsidR="00BB55B0" w:rsidRPr="00BB55B0" w:rsidRDefault="00BB55B0" w:rsidP="00BB55B0">
      <w:pPr>
        <w:jc w:val="center"/>
        <w:rPr>
          <w:rFonts w:ascii="Verdana" w:hAnsi="Verdana" w:cs="Arial"/>
          <w:b/>
          <w:bCs/>
          <w:color w:val="000000"/>
          <w:sz w:val="16"/>
          <w:szCs w:val="16"/>
          <w:lang w:val="es-ES"/>
        </w:rPr>
      </w:pPr>
    </w:p>
    <w:tbl>
      <w:tblPr>
        <w:tblW w:w="10497" w:type="dxa"/>
        <w:tblInd w:w="-781" w:type="dxa"/>
        <w:tblCellMar>
          <w:left w:w="70" w:type="dxa"/>
          <w:right w:w="70" w:type="dxa"/>
        </w:tblCellMar>
        <w:tblLook w:val="04A0"/>
      </w:tblPr>
      <w:tblGrid>
        <w:gridCol w:w="1164"/>
        <w:gridCol w:w="1856"/>
        <w:gridCol w:w="1316"/>
        <w:gridCol w:w="921"/>
        <w:gridCol w:w="916"/>
        <w:gridCol w:w="915"/>
        <w:gridCol w:w="1251"/>
        <w:gridCol w:w="643"/>
        <w:gridCol w:w="1515"/>
      </w:tblGrid>
      <w:tr w:rsidR="00735D3C" w:rsidRPr="00BB55B0" w:rsidTr="00984AFF">
        <w:trPr>
          <w:trHeight w:val="1435"/>
        </w:trPr>
        <w:tc>
          <w:tcPr>
            <w:tcW w:w="3020" w:type="dxa"/>
            <w:gridSpan w:val="2"/>
            <w:vMerge w:val="restart"/>
            <w:tcBorders>
              <w:top w:val="single" w:sz="12" w:space="0" w:color="000000"/>
              <w:left w:val="single" w:sz="12" w:space="0" w:color="000000"/>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Tipo de deuda</w:t>
            </w:r>
          </w:p>
        </w:tc>
        <w:tc>
          <w:tcPr>
            <w:tcW w:w="0" w:type="auto"/>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Perfil de cumplimiento</w:t>
            </w:r>
          </w:p>
        </w:tc>
        <w:tc>
          <w:tcPr>
            <w:tcW w:w="0" w:type="auto"/>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máxima de planes</w:t>
            </w:r>
          </w:p>
        </w:tc>
        <w:tc>
          <w:tcPr>
            <w:tcW w:w="0" w:type="auto"/>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de cuotas</w:t>
            </w:r>
          </w:p>
        </w:tc>
        <w:tc>
          <w:tcPr>
            <w:tcW w:w="2166" w:type="dxa"/>
            <w:gridSpan w:val="2"/>
            <w:tcBorders>
              <w:top w:val="single" w:sz="12" w:space="0" w:color="000000"/>
              <w:left w:val="nil"/>
              <w:bottom w:val="single" w:sz="8" w:space="0" w:color="000000"/>
              <w:right w:val="single" w:sz="8" w:space="0" w:color="000000"/>
            </w:tcBorders>
            <w:shd w:val="clear" w:color="000000" w:fill="A6A6A6"/>
            <w:vAlign w:val="center"/>
            <w:hideMark/>
          </w:tcPr>
          <w:p w:rsidR="00735D3C" w:rsidRPr="00A13539" w:rsidRDefault="00B34396" w:rsidP="00735D3C">
            <w:pPr>
              <w:jc w:val="center"/>
              <w:rPr>
                <w:rFonts w:ascii="Arial" w:hAnsi="Arial" w:cs="Arial"/>
                <w:b/>
                <w:sz w:val="18"/>
                <w:szCs w:val="18"/>
                <w:lang w:val="es-ES"/>
              </w:rPr>
            </w:pPr>
            <w:hyperlink r:id="rId15" w:anchor="nota00" w:tgtFrame="_self" w:history="1">
              <w:r w:rsidR="00735D3C" w:rsidRPr="00A13539">
                <w:rPr>
                  <w:rFonts w:ascii="Arial" w:hAnsi="Arial" w:cs="Arial"/>
                  <w:b/>
                  <w:sz w:val="18"/>
                  <w:szCs w:val="18"/>
                  <w:lang w:val="es-ES"/>
                </w:rPr>
                <w:t>Tasa efectiva mensual de financiamiento para deuda hasta 41.000 UVA (*)</w:t>
              </w:r>
            </w:hyperlink>
          </w:p>
        </w:tc>
        <w:tc>
          <w:tcPr>
            <w:tcW w:w="2158" w:type="dxa"/>
            <w:gridSpan w:val="2"/>
            <w:tcBorders>
              <w:top w:val="single" w:sz="12" w:space="0" w:color="000000"/>
              <w:left w:val="nil"/>
              <w:bottom w:val="single" w:sz="8" w:space="0" w:color="000000"/>
              <w:right w:val="single" w:sz="12" w:space="0" w:color="000000"/>
            </w:tcBorders>
            <w:shd w:val="clear" w:color="000000" w:fill="A6A6A6"/>
            <w:vAlign w:val="center"/>
            <w:hideMark/>
          </w:tcPr>
          <w:p w:rsidR="00735D3C" w:rsidRPr="00A13539" w:rsidRDefault="00B34396" w:rsidP="00735D3C">
            <w:pPr>
              <w:jc w:val="center"/>
              <w:rPr>
                <w:rFonts w:ascii="Arial" w:hAnsi="Arial" w:cs="Arial"/>
                <w:b/>
                <w:sz w:val="18"/>
                <w:szCs w:val="18"/>
                <w:lang w:val="es-ES"/>
              </w:rPr>
            </w:pPr>
            <w:hyperlink r:id="rId16" w:anchor="nota00" w:tgtFrame="_self" w:history="1">
              <w:r w:rsidR="00735D3C" w:rsidRPr="00A13539">
                <w:rPr>
                  <w:rFonts w:ascii="Arial" w:hAnsi="Arial" w:cs="Arial"/>
                  <w:b/>
                  <w:sz w:val="18"/>
                  <w:szCs w:val="18"/>
                  <w:lang w:val="es-ES"/>
                </w:rPr>
                <w:t>Tasa efectiva mensual de financiamiento para deuda superior a 41.000 UVA (*)</w:t>
              </w:r>
            </w:hyperlink>
          </w:p>
        </w:tc>
      </w:tr>
      <w:tr w:rsidR="00735D3C" w:rsidRPr="00BB55B0" w:rsidTr="00984AFF">
        <w:trPr>
          <w:trHeight w:val="1474"/>
        </w:trPr>
        <w:tc>
          <w:tcPr>
            <w:tcW w:w="3020" w:type="dxa"/>
            <w:gridSpan w:val="2"/>
            <w:vMerge/>
            <w:tcBorders>
              <w:top w:val="single" w:sz="12" w:space="0" w:color="000000"/>
              <w:left w:val="single" w:sz="12" w:space="0" w:color="000000"/>
              <w:bottom w:val="single" w:sz="8" w:space="0" w:color="000000"/>
              <w:right w:val="single" w:sz="8" w:space="0" w:color="000000"/>
            </w:tcBorders>
            <w:vAlign w:val="center"/>
            <w:hideMark/>
          </w:tcPr>
          <w:p w:rsidR="00735D3C" w:rsidRPr="00A13539" w:rsidRDefault="00735D3C" w:rsidP="00735D3C">
            <w:pPr>
              <w:rPr>
                <w:rFonts w:ascii="Arial" w:hAnsi="Arial" w:cs="Arial"/>
                <w:b/>
                <w:bCs/>
                <w:color w:val="000000"/>
                <w:sz w:val="18"/>
                <w:szCs w:val="18"/>
                <w:lang w:val="es-ES"/>
              </w:rPr>
            </w:pP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735D3C">
            <w:pPr>
              <w:rPr>
                <w:rFonts w:ascii="Arial" w:hAnsi="Arial" w:cs="Arial"/>
                <w:b/>
                <w:bCs/>
                <w:color w:val="000000"/>
                <w:sz w:val="18"/>
                <w:szCs w:val="18"/>
                <w:lang w:val="es-ES"/>
              </w:rPr>
            </w:pP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735D3C">
            <w:pPr>
              <w:rPr>
                <w:rFonts w:ascii="Arial" w:hAnsi="Arial" w:cs="Arial"/>
                <w:b/>
                <w:bCs/>
                <w:color w:val="000000"/>
                <w:sz w:val="18"/>
                <w:szCs w:val="18"/>
                <w:lang w:val="es-ES"/>
              </w:rPr>
            </w:pP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735D3C">
            <w:pPr>
              <w:rPr>
                <w:rFonts w:ascii="Arial" w:hAnsi="Arial" w:cs="Arial"/>
                <w:b/>
                <w:bCs/>
                <w:color w:val="000000"/>
                <w:sz w:val="18"/>
                <w:szCs w:val="18"/>
                <w:lang w:val="es-ES"/>
              </w:rPr>
            </w:pPr>
          </w:p>
        </w:tc>
        <w:tc>
          <w:tcPr>
            <w:tcW w:w="915" w:type="dxa"/>
            <w:tcBorders>
              <w:top w:val="nil"/>
              <w:left w:val="nil"/>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para julio 2018</w:t>
            </w:r>
          </w:p>
        </w:tc>
        <w:tc>
          <w:tcPr>
            <w:tcW w:w="1251" w:type="dxa"/>
            <w:tcBorders>
              <w:top w:val="nil"/>
              <w:left w:val="nil"/>
              <w:bottom w:val="single" w:sz="8" w:space="0" w:color="000000"/>
              <w:right w:val="single" w:sz="8" w:space="0" w:color="000000"/>
            </w:tcBorders>
            <w:shd w:val="clear" w:color="000000" w:fill="A6A6A6"/>
            <w:vAlign w:val="center"/>
            <w:hideMark/>
          </w:tcPr>
          <w:p w:rsidR="00735D3C" w:rsidRPr="00A13539" w:rsidRDefault="00735D3C" w:rsidP="00BB55B0">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Julio de 2018 y siguientes</w:t>
            </w:r>
            <w:r w:rsidR="00BB55B0" w:rsidRPr="00A13539">
              <w:rPr>
                <w:rFonts w:ascii="Arial" w:hAnsi="Arial" w:cs="Arial"/>
                <w:b/>
                <w:bCs/>
                <w:color w:val="000000"/>
                <w:sz w:val="18"/>
                <w:szCs w:val="18"/>
                <w:lang w:val="es-ES"/>
              </w:rPr>
              <w:t xml:space="preserve"> (**)</w:t>
            </w:r>
          </w:p>
        </w:tc>
        <w:tc>
          <w:tcPr>
            <w:tcW w:w="643" w:type="dxa"/>
            <w:tcBorders>
              <w:top w:val="nil"/>
              <w:left w:val="nil"/>
              <w:bottom w:val="single" w:sz="8" w:space="0" w:color="000000"/>
              <w:right w:val="single" w:sz="8" w:space="0" w:color="000000"/>
            </w:tcBorders>
            <w:shd w:val="clear" w:color="000000" w:fill="A6A6A6"/>
            <w:vAlign w:val="center"/>
            <w:hideMark/>
          </w:tcPr>
          <w:p w:rsidR="00735D3C" w:rsidRPr="00A13539" w:rsidRDefault="00735D3C" w:rsidP="00735D3C">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para julio 2018</w:t>
            </w:r>
          </w:p>
        </w:tc>
        <w:tc>
          <w:tcPr>
            <w:tcW w:w="1515" w:type="dxa"/>
            <w:tcBorders>
              <w:top w:val="nil"/>
              <w:left w:val="nil"/>
              <w:bottom w:val="single" w:sz="8" w:space="0" w:color="000000"/>
              <w:right w:val="single" w:sz="12" w:space="0" w:color="000000"/>
            </w:tcBorders>
            <w:shd w:val="clear" w:color="000000" w:fill="A6A6A6"/>
            <w:vAlign w:val="center"/>
            <w:hideMark/>
          </w:tcPr>
          <w:p w:rsidR="00735D3C" w:rsidRPr="00A13539" w:rsidRDefault="00735D3C" w:rsidP="00BB145E">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Julio de 2018 y siguientes</w:t>
            </w:r>
            <w:r w:rsidR="0031270B" w:rsidRPr="00A13539">
              <w:rPr>
                <w:rFonts w:ascii="Arial" w:hAnsi="Arial" w:cs="Arial"/>
                <w:b/>
                <w:bCs/>
                <w:color w:val="000000"/>
                <w:sz w:val="18"/>
                <w:szCs w:val="18"/>
                <w:lang w:val="es-ES"/>
              </w:rPr>
              <w:t xml:space="preserve"> (**)</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17" w:anchor="nota01" w:tgtFrame="_self" w:history="1">
              <w:r w:rsidR="00735D3C" w:rsidRPr="001D76E2">
                <w:rPr>
                  <w:rFonts w:ascii="Arial" w:hAnsi="Arial" w:cs="Arial"/>
                  <w:b/>
                  <w:sz w:val="18"/>
                  <w:szCs w:val="18"/>
                  <w:lang w:val="es-ES"/>
                </w:rPr>
                <w:t>General (1)</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2,74%</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7%</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2,81%</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8%</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2,67%</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2,88%</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9%</w:t>
            </w:r>
          </w:p>
        </w:tc>
      </w:tr>
      <w:tr w:rsidR="00735D3C" w:rsidRPr="00BB55B0" w:rsidTr="00984AFF">
        <w:trPr>
          <w:trHeight w:val="1408"/>
        </w:trPr>
        <w:tc>
          <w:tcPr>
            <w:tcW w:w="0" w:type="auto"/>
            <w:vMerge w:val="restart"/>
            <w:tcBorders>
              <w:top w:val="nil"/>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18" w:anchor="nota02" w:tgtFrame="_self" w:history="1">
              <w:r w:rsidR="00BB55B0" w:rsidRPr="001D76E2">
                <w:rPr>
                  <w:rFonts w:ascii="Arial" w:hAnsi="Arial" w:cs="Arial"/>
                  <w:b/>
                  <w:sz w:val="18"/>
                  <w:szCs w:val="18"/>
                  <w:lang w:val="es-ES"/>
                </w:rPr>
                <w:t>Z</w:t>
              </w:r>
              <w:r w:rsidR="00735D3C" w:rsidRPr="001D76E2">
                <w:rPr>
                  <w:rFonts w:ascii="Arial" w:hAnsi="Arial" w:cs="Arial"/>
                  <w:b/>
                  <w:sz w:val="18"/>
                  <w:szCs w:val="18"/>
                  <w:lang w:val="es-ES"/>
                </w:rPr>
                <w:t>ona de emergencia y/o desastre (2)</w:t>
              </w:r>
            </w:hyperlink>
          </w:p>
        </w:tc>
        <w:tc>
          <w:tcPr>
            <w:tcW w:w="18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sz w:val="15"/>
                <w:szCs w:val="15"/>
                <w:lang w:val="es-ES"/>
              </w:rPr>
            </w:pPr>
            <w:r w:rsidRPr="00BB55B0">
              <w:rPr>
                <w:rFonts w:ascii="Verdana" w:hAnsi="Verdana" w:cs="Arial"/>
                <w:sz w:val="15"/>
                <w:szCs w:val="15"/>
                <w:lang w:val="es-ES"/>
              </w:rPr>
              <w:t>Obligaciones impositivas y de los recursos de la seguridad social (excepto aportes personales de empleados en relación de dependencia) de contribuyentes en áreas afectadas por emergencias o desastres. Incluidas emergencias agropecuarias</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058"/>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sz w:val="15"/>
                <w:szCs w:val="15"/>
                <w:lang w:val="es-ES"/>
              </w:rPr>
            </w:pPr>
            <w:r w:rsidRPr="00BB55B0">
              <w:rPr>
                <w:rFonts w:ascii="Verdana" w:hAnsi="Verdana" w:cs="Arial"/>
                <w:sz w:val="15"/>
                <w:szCs w:val="15"/>
                <w:lang w:val="es-ES"/>
              </w:rPr>
              <w:t>Deudas por aportes personales de trabajadores en relación de dependencia de contribuyentes en áreas afectadas por emergencias o desastres. Incluidas emergencias agropecuarias</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774"/>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sz w:val="15"/>
                <w:szCs w:val="15"/>
                <w:lang w:val="es-ES"/>
              </w:rPr>
            </w:pPr>
            <w:r w:rsidRPr="00BB55B0">
              <w:rPr>
                <w:rFonts w:ascii="Verdana" w:hAnsi="Verdana" w:cs="Arial"/>
                <w:sz w:val="15"/>
                <w:szCs w:val="15"/>
                <w:lang w:val="es-ES"/>
              </w:rPr>
              <w:t>Deuda por percepciones y retenciones impositivas de contribuyentes en áreas afectadas por emergencias o desastres. Incluidas emergencias agropecuarias</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0" w:type="auto"/>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sz w:val="20"/>
                <w:u w:val="single"/>
                <w:lang w:val="es-ES"/>
              </w:rPr>
            </w:pPr>
          </w:p>
        </w:tc>
        <w:tc>
          <w:tcPr>
            <w:tcW w:w="1856"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sz w:val="15"/>
                <w:szCs w:val="15"/>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19" w:anchor="nota03" w:tgtFrame="_self" w:history="1">
              <w:r w:rsidR="00735D3C" w:rsidRPr="001D76E2">
                <w:rPr>
                  <w:rFonts w:ascii="Arial" w:hAnsi="Arial" w:cs="Arial"/>
                  <w:b/>
                  <w:sz w:val="18"/>
                  <w:szCs w:val="18"/>
                  <w:lang w:val="es-ES"/>
                </w:rPr>
                <w:t>Dación en pago (3)</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20" w:anchor="nota04" w:tgtFrame="_self" w:history="1">
              <w:r w:rsidR="00735D3C" w:rsidRPr="001D76E2">
                <w:rPr>
                  <w:rFonts w:ascii="Arial" w:hAnsi="Arial" w:cs="Arial"/>
                  <w:b/>
                  <w:sz w:val="18"/>
                  <w:szCs w:val="18"/>
                  <w:lang w:val="es-ES"/>
                </w:rPr>
                <w:t>Autónomos y régimen simplificado (4)</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21" w:anchor="nota05" w:tgtFrame="_self" w:history="1">
              <w:r w:rsidR="00735D3C" w:rsidRPr="001D76E2">
                <w:rPr>
                  <w:rFonts w:ascii="Arial" w:hAnsi="Arial" w:cs="Arial"/>
                  <w:b/>
                  <w:sz w:val="18"/>
                  <w:szCs w:val="18"/>
                  <w:lang w:val="es-ES"/>
                </w:rPr>
                <w:t>Aduanera (5)</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u w:val="single"/>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u w:val="single"/>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22" w:anchor="nota06" w:tgtFrame="_self" w:history="1">
              <w:r w:rsidR="00735D3C" w:rsidRPr="001D76E2">
                <w:rPr>
                  <w:rFonts w:ascii="Arial" w:hAnsi="Arial" w:cs="Arial"/>
                  <w:b/>
                  <w:sz w:val="18"/>
                  <w:szCs w:val="18"/>
                  <w:lang w:val="es-ES"/>
                </w:rPr>
                <w:t>Gestión judicial (6)</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2,74%</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7%</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2,81%</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8%</w:t>
            </w:r>
          </w:p>
        </w:tc>
      </w:tr>
      <w:tr w:rsidR="00735D3C" w:rsidRPr="00BB55B0" w:rsidTr="00984AFF">
        <w:trPr>
          <w:trHeight w:val="170"/>
        </w:trPr>
        <w:tc>
          <w:tcPr>
            <w:tcW w:w="3020"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735D3C">
            <w:pPr>
              <w:rPr>
                <w:rFonts w:ascii="Arial" w:hAnsi="Arial" w:cs="Arial"/>
                <w:b/>
                <w:sz w:val="18"/>
                <w:szCs w:val="18"/>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15"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2,67%</w:t>
            </w:r>
          </w:p>
        </w:tc>
        <w:tc>
          <w:tcPr>
            <w:tcW w:w="125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643"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2,88%</w:t>
            </w:r>
          </w:p>
        </w:tc>
        <w:tc>
          <w:tcPr>
            <w:tcW w:w="1515"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9%</w:t>
            </w:r>
          </w:p>
        </w:tc>
      </w:tr>
      <w:tr w:rsidR="00735D3C" w:rsidRPr="00BB55B0" w:rsidTr="00984AFF">
        <w:trPr>
          <w:trHeight w:val="170"/>
        </w:trPr>
        <w:tc>
          <w:tcPr>
            <w:tcW w:w="3020"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23" w:anchor="nota07" w:tgtFrame="_self" w:history="1">
              <w:r w:rsidR="00735D3C" w:rsidRPr="001D76E2">
                <w:rPr>
                  <w:rFonts w:ascii="Arial" w:hAnsi="Arial" w:cs="Arial"/>
                  <w:b/>
                  <w:sz w:val="18"/>
                  <w:szCs w:val="18"/>
                  <w:lang w:val="es-ES"/>
                </w:rPr>
                <w:t>Ajuste de fiscalización (7)</w:t>
              </w:r>
            </w:hyperlink>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0" w:type="auto"/>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0" w:type="auto"/>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15"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251"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643"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1515" w:type="dxa"/>
            <w:vMerge w:val="restart"/>
            <w:tcBorders>
              <w:top w:val="nil"/>
              <w:left w:val="single" w:sz="8" w:space="0" w:color="000000"/>
              <w:bottom w:val="single" w:sz="12"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170"/>
        </w:trPr>
        <w:tc>
          <w:tcPr>
            <w:tcW w:w="3020"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0" w:type="auto"/>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0" w:type="auto"/>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0" w:type="auto"/>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915"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25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643"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515"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735D3C">
            <w:pPr>
              <w:rPr>
                <w:rFonts w:ascii="Verdana" w:hAnsi="Verdana" w:cs="Arial"/>
                <w:color w:val="000000"/>
                <w:sz w:val="15"/>
                <w:szCs w:val="15"/>
                <w:lang w:val="es-ES"/>
              </w:rPr>
            </w:pPr>
          </w:p>
        </w:tc>
      </w:tr>
      <w:tr w:rsidR="00735D3C" w:rsidRPr="00BB55B0" w:rsidTr="00984AFF">
        <w:trPr>
          <w:trHeight w:val="170"/>
        </w:trPr>
        <w:tc>
          <w:tcPr>
            <w:tcW w:w="3020"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0" w:type="auto"/>
            <w:tcBorders>
              <w:top w:val="nil"/>
              <w:left w:val="nil"/>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0" w:type="auto"/>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0" w:type="auto"/>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915"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25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643"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515"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735D3C">
            <w:pPr>
              <w:rPr>
                <w:rFonts w:ascii="Verdana" w:hAnsi="Verdana" w:cs="Arial"/>
                <w:color w:val="000000"/>
                <w:sz w:val="15"/>
                <w:szCs w:val="15"/>
                <w:lang w:val="es-ES"/>
              </w:rPr>
            </w:pPr>
          </w:p>
        </w:tc>
      </w:tr>
    </w:tbl>
    <w:p w:rsidR="00735D3C" w:rsidRPr="00BB55B0" w:rsidRDefault="00735D3C" w:rsidP="00735D3C">
      <w:pPr>
        <w:pStyle w:val="Textoindependiente"/>
        <w:rPr>
          <w:rFonts w:ascii="Verdana" w:hAnsi="Verdana"/>
          <w:color w:val="000000"/>
          <w:sz w:val="15"/>
          <w:szCs w:val="15"/>
        </w:rPr>
      </w:pPr>
    </w:p>
    <w:p w:rsidR="00BB55B0" w:rsidRPr="0031270B" w:rsidRDefault="00BB55B0" w:rsidP="00BB55B0">
      <w:pPr>
        <w:pStyle w:val="Textoindependiente"/>
        <w:ind w:right="-1"/>
        <w:jc w:val="left"/>
        <w:rPr>
          <w:rFonts w:ascii="Arial" w:hAnsi="Arial" w:cs="Arial"/>
          <w:b/>
          <w:color w:val="000000"/>
          <w:sz w:val="18"/>
          <w:szCs w:val="18"/>
        </w:rPr>
      </w:pPr>
    </w:p>
    <w:p w:rsidR="00BB55B0" w:rsidRPr="0031270B" w:rsidRDefault="00735D3C" w:rsidP="00BB55B0">
      <w:pPr>
        <w:pStyle w:val="Textoindependiente"/>
        <w:ind w:left="-851" w:right="-1"/>
        <w:rPr>
          <w:rFonts w:ascii="Arial" w:hAnsi="Arial" w:cs="Arial"/>
          <w:b/>
          <w:sz w:val="18"/>
          <w:szCs w:val="18"/>
          <w:u w:val="single"/>
        </w:rPr>
      </w:pPr>
      <w:r w:rsidRPr="0031270B">
        <w:rPr>
          <w:rFonts w:ascii="Arial" w:hAnsi="Arial" w:cs="Arial"/>
          <w:b/>
          <w:color w:val="000000"/>
          <w:sz w:val="18"/>
          <w:szCs w:val="18"/>
        </w:rPr>
        <w:t>(*) Valor UVA vigente para el día 20 del mes inmediato anterior al correspondiente a la consolidación del plan.</w:t>
      </w:r>
      <w:r w:rsidR="006C47D1" w:rsidRPr="0031270B">
        <w:rPr>
          <w:rFonts w:ascii="Arial" w:hAnsi="Arial" w:cs="Arial"/>
          <w:b/>
          <w:sz w:val="18"/>
          <w:szCs w:val="18"/>
          <w:u w:val="single"/>
        </w:rPr>
        <w:t xml:space="preserve">   </w:t>
      </w:r>
    </w:p>
    <w:p w:rsidR="00BB55B0" w:rsidRPr="0031270B" w:rsidRDefault="00BB55B0" w:rsidP="00BB55B0">
      <w:pPr>
        <w:pStyle w:val="Textoindependiente"/>
        <w:ind w:left="-851" w:right="-1"/>
        <w:rPr>
          <w:rFonts w:ascii="Arial" w:hAnsi="Arial" w:cs="Arial"/>
          <w:b/>
          <w:sz w:val="18"/>
          <w:szCs w:val="18"/>
          <w:u w:val="single"/>
        </w:rPr>
      </w:pPr>
    </w:p>
    <w:p w:rsidR="00BB55B0" w:rsidRPr="0031270B" w:rsidRDefault="00BB55B0" w:rsidP="00BB55B0">
      <w:pPr>
        <w:pStyle w:val="Textoindependiente"/>
        <w:ind w:left="-851" w:right="-1"/>
        <w:rPr>
          <w:rFonts w:ascii="Arial" w:hAnsi="Arial" w:cs="Arial"/>
          <w:b/>
          <w:color w:val="000000"/>
          <w:sz w:val="18"/>
          <w:szCs w:val="18"/>
        </w:rPr>
      </w:pPr>
      <w:r w:rsidRPr="0031270B">
        <w:rPr>
          <w:rFonts w:ascii="Arial" w:hAnsi="Arial" w:cs="Arial"/>
          <w:b/>
          <w:color w:val="000000"/>
          <w:sz w:val="18"/>
          <w:szCs w:val="18"/>
        </w:rPr>
        <w:t>(**) Tasa efectiva mensual equivalente a la Tasa Nominal Anual (TNA) Canal electrónico para depósitos aplazo fijo en pesos en el Banco de la Nación Argentina a ciento ochenta (180) días, vigente para el día 20 del mes inmediato anterior al correspondiente a la consolidación del plan, más los porcentajes nominales anuales que se indican en cada caso.</w:t>
      </w:r>
    </w:p>
    <w:p w:rsidR="00BB55B0" w:rsidRDefault="006C47D1" w:rsidP="0031270B">
      <w:pPr>
        <w:pStyle w:val="Textoindependiente"/>
        <w:ind w:left="-851" w:right="-1"/>
        <w:rPr>
          <w:szCs w:val="24"/>
          <w:u w:val="single"/>
        </w:rPr>
      </w:pPr>
      <w:r w:rsidRPr="00BB55B0">
        <w:rPr>
          <w:szCs w:val="24"/>
          <w:u w:val="single"/>
        </w:rPr>
        <w:t xml:space="preserve">        </w:t>
      </w:r>
      <w:r w:rsidRPr="00BB55B0">
        <w:rPr>
          <w:szCs w:val="24"/>
          <w:u w:val="single"/>
        </w:rPr>
        <w:br/>
        <w:t xml:space="preserve">     </w:t>
      </w:r>
    </w:p>
    <w:p w:rsidR="0031270B" w:rsidRDefault="0031270B"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984AFF" w:rsidRDefault="00984AFF" w:rsidP="0031270B">
      <w:pPr>
        <w:pStyle w:val="Textoindependiente"/>
        <w:ind w:left="-851" w:right="-1"/>
        <w:rPr>
          <w:szCs w:val="24"/>
          <w:u w:val="single"/>
        </w:rPr>
      </w:pPr>
    </w:p>
    <w:p w:rsidR="00984AFF" w:rsidRDefault="00984AFF" w:rsidP="0031270B">
      <w:pPr>
        <w:pStyle w:val="Textoindependiente"/>
        <w:ind w:left="-851" w:right="-1"/>
        <w:rPr>
          <w:szCs w:val="24"/>
          <w:u w:val="single"/>
        </w:rPr>
      </w:pPr>
    </w:p>
    <w:p w:rsidR="00984AFF" w:rsidRDefault="00984AFF"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A13539" w:rsidRDefault="00A13539" w:rsidP="0031270B">
      <w:pPr>
        <w:pStyle w:val="Textoindependiente"/>
        <w:ind w:left="-851" w:right="-1"/>
        <w:rPr>
          <w:szCs w:val="24"/>
          <w:u w:val="single"/>
        </w:rPr>
      </w:pPr>
    </w:p>
    <w:p w:rsidR="00B479BF" w:rsidRDefault="00B479BF" w:rsidP="0031270B">
      <w:pPr>
        <w:pStyle w:val="Textoindependiente"/>
        <w:ind w:left="-851" w:right="-1"/>
        <w:rPr>
          <w:szCs w:val="24"/>
          <w:u w:val="single"/>
        </w:rPr>
      </w:pPr>
    </w:p>
    <w:p w:rsidR="006C47D1" w:rsidRPr="00630736" w:rsidRDefault="00735D3C" w:rsidP="0031270B">
      <w:pPr>
        <w:pStyle w:val="Textoindependiente"/>
        <w:widowControl w:val="0"/>
        <w:tabs>
          <w:tab w:val="left" w:pos="9356"/>
        </w:tabs>
        <w:ind w:right="23"/>
        <w:jc w:val="center"/>
        <w:rPr>
          <w:sz w:val="22"/>
          <w:szCs w:val="22"/>
          <w:u w:val="single"/>
          <w:lang w:val="es-AR"/>
        </w:rPr>
      </w:pPr>
      <w:r w:rsidRPr="00630736">
        <w:rPr>
          <w:b/>
          <w:bCs/>
          <w:color w:val="000000"/>
          <w:sz w:val="22"/>
          <w:szCs w:val="22"/>
          <w:u w:val="single"/>
        </w:rPr>
        <w:t>RESTO DE CONTRIBUYENTES CON GARANTÍA</w:t>
      </w:r>
    </w:p>
    <w:p w:rsidR="00D3742B" w:rsidRPr="00BB55B0" w:rsidRDefault="00D3742B" w:rsidP="00D3742B">
      <w:pPr>
        <w:pStyle w:val="Textoindependiente"/>
        <w:widowControl w:val="0"/>
        <w:tabs>
          <w:tab w:val="left" w:pos="9356"/>
        </w:tabs>
        <w:ind w:right="23"/>
        <w:rPr>
          <w:lang w:val="es-AR"/>
        </w:rPr>
      </w:pPr>
    </w:p>
    <w:p w:rsidR="00D3742B" w:rsidRPr="00BB55B0" w:rsidRDefault="00D3742B" w:rsidP="00D3742B">
      <w:pPr>
        <w:pStyle w:val="Textoindependiente"/>
        <w:widowControl w:val="0"/>
        <w:tabs>
          <w:tab w:val="left" w:pos="9356"/>
        </w:tabs>
        <w:ind w:right="23"/>
        <w:rPr>
          <w:lang w:val="es-AR"/>
        </w:rPr>
      </w:pPr>
    </w:p>
    <w:tbl>
      <w:tblPr>
        <w:tblW w:w="10490" w:type="dxa"/>
        <w:tblInd w:w="-781" w:type="dxa"/>
        <w:tblCellMar>
          <w:left w:w="70" w:type="dxa"/>
          <w:right w:w="70" w:type="dxa"/>
        </w:tblCellMar>
        <w:tblLook w:val="04A0"/>
      </w:tblPr>
      <w:tblGrid>
        <w:gridCol w:w="2039"/>
        <w:gridCol w:w="1519"/>
        <w:gridCol w:w="1311"/>
        <w:gridCol w:w="932"/>
        <w:gridCol w:w="1001"/>
        <w:gridCol w:w="952"/>
        <w:gridCol w:w="2736"/>
      </w:tblGrid>
      <w:tr w:rsidR="00735D3C" w:rsidRPr="00BB55B0" w:rsidTr="00984AFF">
        <w:trPr>
          <w:trHeight w:val="390"/>
        </w:trPr>
        <w:tc>
          <w:tcPr>
            <w:tcW w:w="3558" w:type="dxa"/>
            <w:gridSpan w:val="2"/>
            <w:vMerge w:val="restart"/>
            <w:tcBorders>
              <w:top w:val="single" w:sz="12" w:space="0" w:color="000000"/>
              <w:left w:val="single" w:sz="12" w:space="0" w:color="000000"/>
              <w:bottom w:val="single" w:sz="8" w:space="0" w:color="000000"/>
              <w:right w:val="single" w:sz="8"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Tipo de deuda</w:t>
            </w:r>
          </w:p>
        </w:tc>
        <w:tc>
          <w:tcPr>
            <w:tcW w:w="1311"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Perfil de cumplimiento</w:t>
            </w:r>
          </w:p>
        </w:tc>
        <w:tc>
          <w:tcPr>
            <w:tcW w:w="932"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máxima de planes</w:t>
            </w:r>
          </w:p>
        </w:tc>
        <w:tc>
          <w:tcPr>
            <w:tcW w:w="1001"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Cantidad de cuotas</w:t>
            </w:r>
          </w:p>
        </w:tc>
        <w:tc>
          <w:tcPr>
            <w:tcW w:w="3688" w:type="dxa"/>
            <w:gridSpan w:val="2"/>
            <w:tcBorders>
              <w:top w:val="single" w:sz="12" w:space="0" w:color="000000"/>
              <w:left w:val="nil"/>
              <w:bottom w:val="single" w:sz="8" w:space="0" w:color="000000"/>
              <w:right w:val="single" w:sz="12"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efectiva mensual de financiamiento</w:t>
            </w:r>
          </w:p>
        </w:tc>
      </w:tr>
      <w:tr w:rsidR="00735D3C" w:rsidRPr="00BB55B0" w:rsidTr="00984AFF">
        <w:trPr>
          <w:trHeight w:val="390"/>
        </w:trPr>
        <w:tc>
          <w:tcPr>
            <w:tcW w:w="3558" w:type="dxa"/>
            <w:gridSpan w:val="2"/>
            <w:vMerge/>
            <w:tcBorders>
              <w:top w:val="single" w:sz="12" w:space="0" w:color="000000"/>
              <w:left w:val="single" w:sz="12" w:space="0" w:color="000000"/>
              <w:bottom w:val="single" w:sz="8" w:space="0" w:color="000000"/>
              <w:right w:val="single" w:sz="8" w:space="0" w:color="000000"/>
            </w:tcBorders>
            <w:vAlign w:val="center"/>
            <w:hideMark/>
          </w:tcPr>
          <w:p w:rsidR="00735D3C" w:rsidRPr="00A13539" w:rsidRDefault="00735D3C" w:rsidP="001D76E2">
            <w:pPr>
              <w:jc w:val="center"/>
              <w:rPr>
                <w:rFonts w:ascii="Arial" w:hAnsi="Arial" w:cs="Arial"/>
                <w:b/>
                <w:bCs/>
                <w:color w:val="000000"/>
                <w:sz w:val="18"/>
                <w:szCs w:val="18"/>
                <w:lang w:val="es-ES"/>
              </w:rPr>
            </w:pPr>
          </w:p>
        </w:tc>
        <w:tc>
          <w:tcPr>
            <w:tcW w:w="1311"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1D76E2">
            <w:pPr>
              <w:jc w:val="center"/>
              <w:rPr>
                <w:rFonts w:ascii="Arial" w:hAnsi="Arial" w:cs="Arial"/>
                <w:b/>
                <w:bCs/>
                <w:color w:val="000000"/>
                <w:sz w:val="18"/>
                <w:szCs w:val="18"/>
                <w:lang w:val="es-ES"/>
              </w:rPr>
            </w:pPr>
          </w:p>
        </w:tc>
        <w:tc>
          <w:tcPr>
            <w:tcW w:w="932"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1D76E2">
            <w:pPr>
              <w:jc w:val="center"/>
              <w:rPr>
                <w:rFonts w:ascii="Arial" w:hAnsi="Arial" w:cs="Arial"/>
                <w:b/>
                <w:bCs/>
                <w:color w:val="000000"/>
                <w:sz w:val="18"/>
                <w:szCs w:val="18"/>
                <w:lang w:val="es-ES"/>
              </w:rPr>
            </w:pPr>
          </w:p>
        </w:tc>
        <w:tc>
          <w:tcPr>
            <w:tcW w:w="1001" w:type="dxa"/>
            <w:vMerge/>
            <w:tcBorders>
              <w:top w:val="single" w:sz="12" w:space="0" w:color="000000"/>
              <w:left w:val="single" w:sz="8" w:space="0" w:color="000000"/>
              <w:bottom w:val="single" w:sz="8" w:space="0" w:color="000000"/>
              <w:right w:val="single" w:sz="8" w:space="0" w:color="000000"/>
            </w:tcBorders>
            <w:vAlign w:val="center"/>
            <w:hideMark/>
          </w:tcPr>
          <w:p w:rsidR="00735D3C" w:rsidRPr="00A13539" w:rsidRDefault="00735D3C" w:rsidP="001D76E2">
            <w:pPr>
              <w:jc w:val="center"/>
              <w:rPr>
                <w:rFonts w:ascii="Arial" w:hAnsi="Arial" w:cs="Arial"/>
                <w:b/>
                <w:bCs/>
                <w:color w:val="000000"/>
                <w:sz w:val="18"/>
                <w:szCs w:val="18"/>
                <w:lang w:val="es-ES"/>
              </w:rPr>
            </w:pPr>
          </w:p>
        </w:tc>
        <w:tc>
          <w:tcPr>
            <w:tcW w:w="952" w:type="dxa"/>
            <w:vMerge w:val="restart"/>
            <w:tcBorders>
              <w:top w:val="nil"/>
              <w:left w:val="single" w:sz="8" w:space="0" w:color="000000"/>
              <w:bottom w:val="single" w:sz="8" w:space="0" w:color="000000"/>
              <w:right w:val="single" w:sz="8" w:space="0" w:color="000000"/>
            </w:tcBorders>
            <w:shd w:val="clear" w:color="000000" w:fill="A6A6A6"/>
            <w:vAlign w:val="center"/>
            <w:hideMark/>
          </w:tcPr>
          <w:p w:rsidR="00735D3C" w:rsidRPr="00A13539" w:rsidRDefault="00735D3C"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Tasa para julio 2018</w:t>
            </w:r>
          </w:p>
        </w:tc>
        <w:tc>
          <w:tcPr>
            <w:tcW w:w="2736" w:type="dxa"/>
            <w:tcBorders>
              <w:top w:val="nil"/>
              <w:left w:val="nil"/>
              <w:bottom w:val="nil"/>
              <w:right w:val="single" w:sz="12" w:space="0" w:color="000000"/>
            </w:tcBorders>
            <w:shd w:val="clear" w:color="000000" w:fill="A6A6A6"/>
            <w:vAlign w:val="center"/>
            <w:hideMark/>
          </w:tcPr>
          <w:p w:rsidR="001D76E2" w:rsidRPr="00A13539" w:rsidRDefault="001D76E2" w:rsidP="001D76E2">
            <w:pPr>
              <w:jc w:val="center"/>
              <w:rPr>
                <w:rFonts w:ascii="Arial" w:hAnsi="Arial" w:cs="Arial"/>
                <w:b/>
                <w:bCs/>
                <w:color w:val="000000"/>
                <w:sz w:val="18"/>
                <w:szCs w:val="18"/>
                <w:lang w:val="es-ES"/>
              </w:rPr>
            </w:pPr>
          </w:p>
          <w:p w:rsidR="001D76E2" w:rsidRPr="00A13539" w:rsidRDefault="001D76E2" w:rsidP="001D76E2">
            <w:pPr>
              <w:jc w:val="center"/>
              <w:rPr>
                <w:rFonts w:ascii="Arial" w:hAnsi="Arial" w:cs="Arial"/>
                <w:b/>
                <w:bCs/>
                <w:color w:val="000000"/>
                <w:sz w:val="18"/>
                <w:szCs w:val="18"/>
                <w:lang w:val="es-ES"/>
              </w:rPr>
            </w:pPr>
          </w:p>
          <w:p w:rsidR="001D76E2" w:rsidRPr="00A13539" w:rsidRDefault="001D76E2" w:rsidP="001D76E2">
            <w:pPr>
              <w:jc w:val="center"/>
              <w:rPr>
                <w:rFonts w:ascii="Arial" w:hAnsi="Arial" w:cs="Arial"/>
                <w:b/>
                <w:bCs/>
                <w:color w:val="000000"/>
                <w:sz w:val="18"/>
                <w:szCs w:val="18"/>
                <w:lang w:val="es-ES"/>
              </w:rPr>
            </w:pPr>
          </w:p>
          <w:p w:rsidR="00735D3C" w:rsidRPr="00A13539" w:rsidRDefault="0031270B" w:rsidP="001D76E2">
            <w:pPr>
              <w:jc w:val="center"/>
              <w:rPr>
                <w:rFonts w:ascii="Arial" w:hAnsi="Arial" w:cs="Arial"/>
                <w:b/>
                <w:bCs/>
                <w:color w:val="000000"/>
                <w:sz w:val="18"/>
                <w:szCs w:val="18"/>
                <w:lang w:val="es-ES"/>
              </w:rPr>
            </w:pPr>
            <w:r w:rsidRPr="00A13539">
              <w:rPr>
                <w:rFonts w:ascii="Arial" w:hAnsi="Arial" w:cs="Arial"/>
                <w:b/>
                <w:bCs/>
                <w:color w:val="000000"/>
                <w:sz w:val="18"/>
                <w:szCs w:val="18"/>
                <w:lang w:val="es-ES"/>
              </w:rPr>
              <w:t>Julio de 2018 y siguientes (*)</w:t>
            </w:r>
          </w:p>
        </w:tc>
      </w:tr>
      <w:tr w:rsidR="00735D3C" w:rsidRPr="00BB55B0" w:rsidTr="00984AFF">
        <w:trPr>
          <w:trHeight w:val="881"/>
        </w:trPr>
        <w:tc>
          <w:tcPr>
            <w:tcW w:w="3558" w:type="dxa"/>
            <w:gridSpan w:val="2"/>
            <w:vMerge/>
            <w:tcBorders>
              <w:top w:val="single" w:sz="12" w:space="0" w:color="000000"/>
              <w:left w:val="single" w:sz="12" w:space="0" w:color="000000"/>
              <w:bottom w:val="single" w:sz="8" w:space="0" w:color="000000"/>
              <w:right w:val="single" w:sz="8" w:space="0" w:color="000000"/>
            </w:tcBorders>
            <w:vAlign w:val="center"/>
            <w:hideMark/>
          </w:tcPr>
          <w:p w:rsidR="00735D3C" w:rsidRPr="00BB55B0" w:rsidRDefault="00735D3C" w:rsidP="001D76E2">
            <w:pPr>
              <w:jc w:val="center"/>
              <w:rPr>
                <w:rFonts w:ascii="Verdana" w:hAnsi="Verdana" w:cs="Arial"/>
                <w:b/>
                <w:bCs/>
                <w:color w:val="000000"/>
                <w:sz w:val="15"/>
                <w:szCs w:val="15"/>
                <w:lang w:val="es-ES"/>
              </w:rPr>
            </w:pPr>
          </w:p>
        </w:tc>
        <w:tc>
          <w:tcPr>
            <w:tcW w:w="1311" w:type="dxa"/>
            <w:vMerge/>
            <w:tcBorders>
              <w:top w:val="single" w:sz="12" w:space="0" w:color="000000"/>
              <w:left w:val="single" w:sz="8" w:space="0" w:color="000000"/>
              <w:bottom w:val="single" w:sz="8" w:space="0" w:color="000000"/>
              <w:right w:val="single" w:sz="8" w:space="0" w:color="000000"/>
            </w:tcBorders>
            <w:vAlign w:val="center"/>
            <w:hideMark/>
          </w:tcPr>
          <w:p w:rsidR="00735D3C" w:rsidRPr="00BB55B0" w:rsidRDefault="00735D3C" w:rsidP="001D76E2">
            <w:pPr>
              <w:jc w:val="center"/>
              <w:rPr>
                <w:rFonts w:ascii="Verdana" w:hAnsi="Verdana" w:cs="Arial"/>
                <w:b/>
                <w:bCs/>
                <w:color w:val="000000"/>
                <w:sz w:val="15"/>
                <w:szCs w:val="15"/>
                <w:lang w:val="es-ES"/>
              </w:rPr>
            </w:pPr>
          </w:p>
        </w:tc>
        <w:tc>
          <w:tcPr>
            <w:tcW w:w="932" w:type="dxa"/>
            <w:vMerge/>
            <w:tcBorders>
              <w:top w:val="single" w:sz="12" w:space="0" w:color="000000"/>
              <w:left w:val="single" w:sz="8" w:space="0" w:color="000000"/>
              <w:bottom w:val="single" w:sz="8" w:space="0" w:color="000000"/>
              <w:right w:val="single" w:sz="8" w:space="0" w:color="000000"/>
            </w:tcBorders>
            <w:vAlign w:val="center"/>
            <w:hideMark/>
          </w:tcPr>
          <w:p w:rsidR="00735D3C" w:rsidRPr="00BB55B0" w:rsidRDefault="00735D3C" w:rsidP="001D76E2">
            <w:pPr>
              <w:jc w:val="center"/>
              <w:rPr>
                <w:rFonts w:ascii="Verdana" w:hAnsi="Verdana" w:cs="Arial"/>
                <w:b/>
                <w:bCs/>
                <w:color w:val="000000"/>
                <w:sz w:val="15"/>
                <w:szCs w:val="15"/>
                <w:lang w:val="es-ES"/>
              </w:rPr>
            </w:pPr>
          </w:p>
        </w:tc>
        <w:tc>
          <w:tcPr>
            <w:tcW w:w="1001" w:type="dxa"/>
            <w:vMerge/>
            <w:tcBorders>
              <w:top w:val="single" w:sz="12" w:space="0" w:color="000000"/>
              <w:left w:val="single" w:sz="8" w:space="0" w:color="000000"/>
              <w:bottom w:val="single" w:sz="8" w:space="0" w:color="000000"/>
              <w:right w:val="single" w:sz="8" w:space="0" w:color="000000"/>
            </w:tcBorders>
            <w:vAlign w:val="center"/>
            <w:hideMark/>
          </w:tcPr>
          <w:p w:rsidR="00735D3C" w:rsidRPr="00BB55B0" w:rsidRDefault="00735D3C" w:rsidP="001D76E2">
            <w:pPr>
              <w:jc w:val="center"/>
              <w:rPr>
                <w:rFonts w:ascii="Verdana" w:hAnsi="Verdana" w:cs="Arial"/>
                <w:b/>
                <w:bCs/>
                <w:color w:val="000000"/>
                <w:sz w:val="15"/>
                <w:szCs w:val="15"/>
                <w:lang w:val="es-ES"/>
              </w:rPr>
            </w:pPr>
          </w:p>
        </w:tc>
        <w:tc>
          <w:tcPr>
            <w:tcW w:w="952"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1D76E2">
            <w:pPr>
              <w:jc w:val="center"/>
              <w:rPr>
                <w:rFonts w:ascii="Verdana" w:hAnsi="Verdana" w:cs="Arial"/>
                <w:b/>
                <w:bCs/>
                <w:color w:val="000000"/>
                <w:sz w:val="15"/>
                <w:szCs w:val="15"/>
                <w:lang w:val="es-ES"/>
              </w:rPr>
            </w:pPr>
          </w:p>
        </w:tc>
        <w:tc>
          <w:tcPr>
            <w:tcW w:w="2736" w:type="dxa"/>
            <w:tcBorders>
              <w:top w:val="nil"/>
              <w:left w:val="nil"/>
              <w:bottom w:val="single" w:sz="8" w:space="0" w:color="000000"/>
              <w:right w:val="single" w:sz="12" w:space="0" w:color="000000"/>
            </w:tcBorders>
            <w:shd w:val="clear" w:color="000000" w:fill="A6A6A6"/>
            <w:vAlign w:val="center"/>
            <w:hideMark/>
          </w:tcPr>
          <w:p w:rsidR="00735D3C" w:rsidRPr="00BB55B0" w:rsidRDefault="00735D3C" w:rsidP="001D76E2">
            <w:pPr>
              <w:jc w:val="center"/>
              <w:rPr>
                <w:rFonts w:ascii="Verdana" w:hAnsi="Verdana" w:cs="Arial"/>
                <w:b/>
                <w:bCs/>
                <w:color w:val="000000"/>
                <w:sz w:val="15"/>
                <w:szCs w:val="15"/>
                <w:lang w:val="es-ES"/>
              </w:rPr>
            </w:pP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lang w:val="es-ES"/>
              </w:rPr>
            </w:pPr>
            <w:hyperlink r:id="rId24" w:anchor="nota01" w:tgtFrame="_self" w:history="1">
              <w:r w:rsidR="00735D3C" w:rsidRPr="001D76E2">
                <w:rPr>
                  <w:rFonts w:ascii="Arial" w:hAnsi="Arial" w:cs="Arial"/>
                  <w:b/>
                  <w:sz w:val="18"/>
                  <w:szCs w:val="18"/>
                  <w:lang w:val="es-ES"/>
                </w:rPr>
                <w:t>General (1)</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610"/>
        </w:trPr>
        <w:tc>
          <w:tcPr>
            <w:tcW w:w="2039"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color w:val="0000FF"/>
                <w:sz w:val="18"/>
                <w:szCs w:val="18"/>
                <w:u w:val="single"/>
                <w:lang w:val="es-ES"/>
              </w:rPr>
            </w:pPr>
            <w:hyperlink r:id="rId25" w:anchor="nota02" w:tgtFrame="_self" w:history="1">
              <w:r w:rsidR="00735D3C" w:rsidRPr="001D76E2">
                <w:rPr>
                  <w:rFonts w:ascii="Arial" w:hAnsi="Arial" w:cs="Arial"/>
                  <w:b/>
                  <w:sz w:val="18"/>
                  <w:szCs w:val="18"/>
                </w:rPr>
                <w:t>Zona de emergencia y/o desastre (2)</w:t>
              </w:r>
            </w:hyperlink>
          </w:p>
        </w:tc>
        <w:tc>
          <w:tcPr>
            <w:tcW w:w="1519" w:type="dxa"/>
            <w:tcBorders>
              <w:top w:val="nil"/>
              <w:left w:val="nil"/>
              <w:bottom w:val="nil"/>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Obligaciones impositivas y de los recursos de la seguridad social (excepto aportes personales de empleados en relación de dependencia) de contribuyentes en áreas afectadas por emergencias o desastres.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60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tcBorders>
              <w:top w:val="nil"/>
              <w:left w:val="nil"/>
              <w:bottom w:val="nil"/>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rPr>
                <w:rFonts w:ascii="Arial" w:hAnsi="Arial" w:cs="Arial"/>
                <w:sz w:val="20"/>
                <w:lang w:val="es-ES"/>
              </w:rPr>
            </w:pPr>
            <w:r w:rsidRPr="00BB55B0">
              <w:rPr>
                <w:rFonts w:ascii="Arial" w:hAnsi="Arial" w:cs="Arial"/>
                <w:sz w:val="20"/>
                <w:lang w:val="es-ES"/>
              </w:rPr>
              <w:t> </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785"/>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Deudas por aportes personales de trabajadores en relación de dependencia de contribuyentes en áreas afectadas por emergencias o desastres. 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1515"/>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Deuda por percepciones y retenciones impositivas de contribuyentes en áreas afectadas por emergencias o desastres. Incluidas emergencias agropecuarias</w:t>
            </w: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2039" w:type="dxa"/>
            <w:vMerge/>
            <w:tcBorders>
              <w:top w:val="nil"/>
              <w:left w:val="single" w:sz="12" w:space="0" w:color="000000"/>
              <w:bottom w:val="single" w:sz="8"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519" w:type="dxa"/>
            <w:vMerge/>
            <w:tcBorders>
              <w:top w:val="nil"/>
              <w:left w:val="single" w:sz="8" w:space="0" w:color="000000"/>
              <w:bottom w:val="single" w:sz="8"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rPr>
            </w:pPr>
            <w:hyperlink r:id="rId26" w:anchor="nota03" w:tgtFrame="_self" w:history="1">
              <w:r w:rsidR="00735D3C" w:rsidRPr="001D76E2">
                <w:rPr>
                  <w:rFonts w:ascii="Arial" w:hAnsi="Arial" w:cs="Arial"/>
                  <w:b/>
                  <w:sz w:val="18"/>
                  <w:szCs w:val="18"/>
                </w:rPr>
                <w:t>Dación en pago (3)</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rPr>
            </w:pPr>
            <w:hyperlink r:id="rId27" w:anchor="nota04" w:tgtFrame="_self" w:history="1">
              <w:r w:rsidR="00735D3C" w:rsidRPr="001D76E2">
                <w:rPr>
                  <w:rFonts w:ascii="Arial" w:hAnsi="Arial" w:cs="Arial"/>
                  <w:b/>
                  <w:sz w:val="18"/>
                  <w:szCs w:val="18"/>
                </w:rPr>
                <w:t>Autónomos y régimen simplificado (4)</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20</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rPr>
            </w:pPr>
            <w:hyperlink r:id="rId28" w:anchor="nota05" w:tgtFrame="_self" w:history="1">
              <w:r w:rsidR="00735D3C" w:rsidRPr="001D76E2">
                <w:rPr>
                  <w:rFonts w:ascii="Arial" w:hAnsi="Arial" w:cs="Arial"/>
                  <w:b/>
                  <w:sz w:val="18"/>
                  <w:szCs w:val="18"/>
                </w:rPr>
                <w:t>Aduanera (5)</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18</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2,60%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5%</w:t>
            </w: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rPr>
            </w:pPr>
            <w:hyperlink r:id="rId29" w:anchor="nota06" w:tgtFrame="_self" w:history="1">
              <w:r w:rsidR="00735D3C" w:rsidRPr="001D76E2">
                <w:rPr>
                  <w:rFonts w:ascii="Arial" w:hAnsi="Arial" w:cs="Arial"/>
                  <w:b/>
                  <w:sz w:val="18"/>
                  <w:szCs w:val="18"/>
                </w:rPr>
                <w:t>Gestión judicial (6)</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2,30%</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2,38%</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w:t>
            </w:r>
          </w:p>
        </w:tc>
      </w:tr>
      <w:tr w:rsidR="00735D3C" w:rsidRPr="00BB55B0" w:rsidTr="00984AFF">
        <w:trPr>
          <w:trHeight w:val="270"/>
        </w:trPr>
        <w:tc>
          <w:tcPr>
            <w:tcW w:w="3558" w:type="dxa"/>
            <w:gridSpan w:val="2"/>
            <w:vMerge/>
            <w:tcBorders>
              <w:top w:val="single" w:sz="8" w:space="0" w:color="000000"/>
              <w:left w:val="single" w:sz="12" w:space="0" w:color="000000"/>
              <w:bottom w:val="single" w:sz="8" w:space="0" w:color="000000"/>
              <w:right w:val="single" w:sz="8" w:space="0" w:color="000000"/>
            </w:tcBorders>
            <w:vAlign w:val="center"/>
            <w:hideMark/>
          </w:tcPr>
          <w:p w:rsidR="00735D3C" w:rsidRPr="001D76E2" w:rsidRDefault="00735D3C" w:rsidP="001D76E2">
            <w:pPr>
              <w:jc w:val="center"/>
              <w:rPr>
                <w:rFonts w:ascii="Arial" w:hAnsi="Arial" w:cs="Arial"/>
                <w:b/>
                <w:sz w:val="18"/>
                <w:szCs w:val="18"/>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w:t>
            </w:r>
          </w:p>
        </w:tc>
        <w:tc>
          <w:tcPr>
            <w:tcW w:w="100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6</w:t>
            </w:r>
          </w:p>
        </w:tc>
        <w:tc>
          <w:tcPr>
            <w:tcW w:w="952"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2,45%</w:t>
            </w:r>
          </w:p>
        </w:tc>
        <w:tc>
          <w:tcPr>
            <w:tcW w:w="2736" w:type="dxa"/>
            <w:tcBorders>
              <w:top w:val="nil"/>
              <w:left w:val="nil"/>
              <w:bottom w:val="single" w:sz="8"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3%</w:t>
            </w:r>
          </w:p>
        </w:tc>
      </w:tr>
      <w:tr w:rsidR="00735D3C" w:rsidRPr="00BB55B0" w:rsidTr="00984AFF">
        <w:trPr>
          <w:trHeight w:val="270"/>
        </w:trPr>
        <w:tc>
          <w:tcPr>
            <w:tcW w:w="3558"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735D3C" w:rsidRPr="001D76E2" w:rsidRDefault="00B34396" w:rsidP="00735D3C">
            <w:pPr>
              <w:jc w:val="center"/>
              <w:rPr>
                <w:rFonts w:ascii="Arial" w:hAnsi="Arial" w:cs="Arial"/>
                <w:b/>
                <w:sz w:val="18"/>
                <w:szCs w:val="18"/>
              </w:rPr>
            </w:pPr>
            <w:hyperlink r:id="rId30" w:anchor="nota07" w:tgtFrame="_self" w:history="1">
              <w:r w:rsidR="00735D3C" w:rsidRPr="001D76E2">
                <w:rPr>
                  <w:rFonts w:ascii="Arial" w:hAnsi="Arial" w:cs="Arial"/>
                  <w:b/>
                  <w:sz w:val="18"/>
                  <w:szCs w:val="18"/>
                </w:rPr>
                <w:t>Ajuste de fiscalización (7)</w:t>
              </w:r>
            </w:hyperlink>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w:t>
            </w:r>
          </w:p>
        </w:tc>
        <w:tc>
          <w:tcPr>
            <w:tcW w:w="932"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w:t>
            </w:r>
          </w:p>
        </w:tc>
        <w:tc>
          <w:tcPr>
            <w:tcW w:w="1001"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12</w:t>
            </w:r>
          </w:p>
        </w:tc>
        <w:tc>
          <w:tcPr>
            <w:tcW w:w="952"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2,52%</w:t>
            </w:r>
          </w:p>
        </w:tc>
        <w:tc>
          <w:tcPr>
            <w:tcW w:w="2736" w:type="dxa"/>
            <w:vMerge w:val="restart"/>
            <w:tcBorders>
              <w:top w:val="nil"/>
              <w:left w:val="single" w:sz="8" w:space="0" w:color="000000"/>
              <w:bottom w:val="single" w:sz="12" w:space="0" w:color="000000"/>
              <w:right w:val="single" w:sz="12"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4%</w:t>
            </w:r>
          </w:p>
        </w:tc>
      </w:tr>
      <w:tr w:rsidR="00735D3C" w:rsidRPr="00BB55B0" w:rsidTr="00984AFF">
        <w:trPr>
          <w:trHeight w:val="270"/>
        </w:trPr>
        <w:tc>
          <w:tcPr>
            <w:tcW w:w="3558"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311" w:type="dxa"/>
            <w:tcBorders>
              <w:top w:val="nil"/>
              <w:left w:val="nil"/>
              <w:bottom w:val="single" w:sz="8"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w:t>
            </w:r>
          </w:p>
        </w:tc>
        <w:tc>
          <w:tcPr>
            <w:tcW w:w="932"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00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952"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2736"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735D3C">
            <w:pPr>
              <w:rPr>
                <w:rFonts w:ascii="Verdana" w:hAnsi="Verdana" w:cs="Arial"/>
                <w:color w:val="000000"/>
                <w:sz w:val="15"/>
                <w:szCs w:val="15"/>
                <w:lang w:val="es-ES"/>
              </w:rPr>
            </w:pPr>
          </w:p>
        </w:tc>
      </w:tr>
      <w:tr w:rsidR="00735D3C" w:rsidRPr="00BB55B0" w:rsidTr="00984AFF">
        <w:trPr>
          <w:trHeight w:val="270"/>
        </w:trPr>
        <w:tc>
          <w:tcPr>
            <w:tcW w:w="3558" w:type="dxa"/>
            <w:gridSpan w:val="2"/>
            <w:vMerge/>
            <w:tcBorders>
              <w:top w:val="single" w:sz="8" w:space="0" w:color="000000"/>
              <w:left w:val="single" w:sz="12" w:space="0" w:color="000000"/>
              <w:bottom w:val="single" w:sz="12" w:space="0" w:color="000000"/>
              <w:right w:val="single" w:sz="8" w:space="0" w:color="000000"/>
            </w:tcBorders>
            <w:vAlign w:val="center"/>
            <w:hideMark/>
          </w:tcPr>
          <w:p w:rsidR="00735D3C" w:rsidRPr="00BB55B0" w:rsidRDefault="00735D3C" w:rsidP="00735D3C">
            <w:pPr>
              <w:rPr>
                <w:rFonts w:ascii="Arial" w:hAnsi="Arial" w:cs="Arial"/>
                <w:color w:val="0000FF"/>
                <w:sz w:val="20"/>
                <w:u w:val="single"/>
                <w:lang w:val="es-ES"/>
              </w:rPr>
            </w:pPr>
          </w:p>
        </w:tc>
        <w:tc>
          <w:tcPr>
            <w:tcW w:w="1311" w:type="dxa"/>
            <w:tcBorders>
              <w:top w:val="nil"/>
              <w:left w:val="nil"/>
              <w:bottom w:val="single" w:sz="12" w:space="0" w:color="000000"/>
              <w:right w:val="single" w:sz="8" w:space="0" w:color="000000"/>
            </w:tcBorders>
            <w:shd w:val="clear" w:color="auto" w:fill="auto"/>
            <w:vAlign w:val="center"/>
            <w:hideMark/>
          </w:tcPr>
          <w:p w:rsidR="00735D3C" w:rsidRPr="00BB55B0" w:rsidRDefault="00735D3C" w:rsidP="00735D3C">
            <w:pPr>
              <w:jc w:val="center"/>
              <w:rPr>
                <w:rFonts w:ascii="Verdana" w:hAnsi="Verdana" w:cs="Arial"/>
                <w:color w:val="000000"/>
                <w:sz w:val="15"/>
                <w:szCs w:val="15"/>
                <w:lang w:val="es-ES"/>
              </w:rPr>
            </w:pPr>
            <w:r w:rsidRPr="00BB55B0">
              <w:rPr>
                <w:rFonts w:ascii="Verdana" w:hAnsi="Verdana" w:cs="Arial"/>
                <w:color w:val="000000"/>
                <w:sz w:val="15"/>
                <w:szCs w:val="15"/>
                <w:lang w:val="es-ES"/>
              </w:rPr>
              <w:t>III</w:t>
            </w:r>
          </w:p>
        </w:tc>
        <w:tc>
          <w:tcPr>
            <w:tcW w:w="932"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1001"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952" w:type="dxa"/>
            <w:vMerge/>
            <w:tcBorders>
              <w:top w:val="nil"/>
              <w:left w:val="single" w:sz="8" w:space="0" w:color="000000"/>
              <w:bottom w:val="single" w:sz="12" w:space="0" w:color="000000"/>
              <w:right w:val="single" w:sz="8" w:space="0" w:color="000000"/>
            </w:tcBorders>
            <w:vAlign w:val="center"/>
            <w:hideMark/>
          </w:tcPr>
          <w:p w:rsidR="00735D3C" w:rsidRPr="00BB55B0" w:rsidRDefault="00735D3C" w:rsidP="00735D3C">
            <w:pPr>
              <w:rPr>
                <w:rFonts w:ascii="Verdana" w:hAnsi="Verdana" w:cs="Arial"/>
                <w:color w:val="000000"/>
                <w:sz w:val="15"/>
                <w:szCs w:val="15"/>
                <w:lang w:val="es-ES"/>
              </w:rPr>
            </w:pPr>
          </w:p>
        </w:tc>
        <w:tc>
          <w:tcPr>
            <w:tcW w:w="2736" w:type="dxa"/>
            <w:vMerge/>
            <w:tcBorders>
              <w:top w:val="nil"/>
              <w:left w:val="single" w:sz="8" w:space="0" w:color="000000"/>
              <w:bottom w:val="single" w:sz="12" w:space="0" w:color="000000"/>
              <w:right w:val="single" w:sz="12" w:space="0" w:color="000000"/>
            </w:tcBorders>
            <w:vAlign w:val="center"/>
            <w:hideMark/>
          </w:tcPr>
          <w:p w:rsidR="00735D3C" w:rsidRPr="00BB55B0" w:rsidRDefault="00735D3C" w:rsidP="00735D3C">
            <w:pPr>
              <w:rPr>
                <w:rFonts w:ascii="Verdana" w:hAnsi="Verdana" w:cs="Arial"/>
                <w:color w:val="000000"/>
                <w:sz w:val="15"/>
                <w:szCs w:val="15"/>
                <w:lang w:val="es-ES"/>
              </w:rPr>
            </w:pPr>
          </w:p>
        </w:tc>
      </w:tr>
    </w:tbl>
    <w:p w:rsidR="00735D3C" w:rsidRPr="0031270B" w:rsidRDefault="00735D3C" w:rsidP="00735D3C">
      <w:pPr>
        <w:pStyle w:val="Textoindependiente"/>
        <w:tabs>
          <w:tab w:val="left" w:pos="709"/>
        </w:tabs>
        <w:ind w:right="23"/>
        <w:rPr>
          <w:rFonts w:ascii="Arial" w:hAnsi="Arial" w:cs="Arial"/>
          <w:b/>
          <w:sz w:val="18"/>
          <w:szCs w:val="18"/>
          <w:u w:val="single"/>
        </w:rPr>
      </w:pPr>
    </w:p>
    <w:p w:rsidR="0031270B" w:rsidRDefault="0031270B" w:rsidP="0031270B">
      <w:pPr>
        <w:pStyle w:val="Textoindependiente"/>
        <w:tabs>
          <w:tab w:val="left" w:pos="709"/>
        </w:tabs>
        <w:ind w:left="-851" w:right="-1135"/>
        <w:rPr>
          <w:rFonts w:ascii="Arial" w:hAnsi="Arial" w:cs="Arial"/>
          <w:b/>
          <w:bCs/>
          <w:color w:val="000000"/>
          <w:sz w:val="18"/>
          <w:szCs w:val="18"/>
          <w:lang w:val="es-ES"/>
        </w:rPr>
      </w:pPr>
    </w:p>
    <w:p w:rsidR="0031270B" w:rsidRPr="0031270B" w:rsidRDefault="0031270B" w:rsidP="0031270B">
      <w:pPr>
        <w:pStyle w:val="Textoindependiente"/>
        <w:tabs>
          <w:tab w:val="left" w:pos="709"/>
        </w:tabs>
        <w:ind w:left="-851" w:right="-1135"/>
        <w:rPr>
          <w:rFonts w:ascii="Arial" w:hAnsi="Arial" w:cs="Arial"/>
          <w:b/>
          <w:sz w:val="18"/>
          <w:szCs w:val="18"/>
          <w:u w:val="single"/>
        </w:rPr>
      </w:pPr>
      <w:r w:rsidRPr="0031270B">
        <w:rPr>
          <w:rFonts w:ascii="Arial" w:hAnsi="Arial" w:cs="Arial"/>
          <w:b/>
          <w:bCs/>
          <w:color w:val="000000"/>
          <w:sz w:val="18"/>
          <w:szCs w:val="18"/>
          <w:lang w:val="es-ES"/>
        </w:rPr>
        <w:t>(*) Tasa efectiva mensual equivalente a la Tasa Nominal Anual (TNA) Canal electrónico para depósitos a plazo fijo en pesos en el Banco de la Nación Argentina a ciento ochenta (180) días, vigente para el día 20 del mes inmediato anterior al correspondiente a la consolidación del plan, más los porcentajes nominales anuales que se indican en cada caso:</w:t>
      </w:r>
    </w:p>
    <w:p w:rsidR="00BB55B0" w:rsidRDefault="00BB55B0" w:rsidP="00735D3C">
      <w:pPr>
        <w:pStyle w:val="Textoindependiente"/>
        <w:tabs>
          <w:tab w:val="left" w:pos="709"/>
        </w:tabs>
        <w:ind w:right="23"/>
        <w:rPr>
          <w:b/>
          <w:highlight w:val="yellow"/>
          <w:u w:val="single"/>
        </w:rPr>
      </w:pPr>
    </w:p>
    <w:p w:rsidR="00B479BF" w:rsidRDefault="00B479BF" w:rsidP="00735D3C">
      <w:pPr>
        <w:pStyle w:val="Textoindependiente"/>
        <w:tabs>
          <w:tab w:val="left" w:pos="709"/>
        </w:tabs>
        <w:ind w:right="23"/>
        <w:rPr>
          <w:b/>
          <w:highlight w:val="yellow"/>
          <w:u w:val="single"/>
        </w:rPr>
      </w:pPr>
    </w:p>
    <w:p w:rsidR="00B479BF" w:rsidRDefault="00B479BF" w:rsidP="0031270B">
      <w:pPr>
        <w:pStyle w:val="texto8novedades"/>
        <w:spacing w:before="105" w:beforeAutospacing="0" w:after="0" w:afterAutospacing="0"/>
        <w:ind w:left="-851" w:right="-1135"/>
        <w:jc w:val="both"/>
        <w:rPr>
          <w:rFonts w:ascii="Arial" w:hAnsi="Arial" w:cs="Arial"/>
          <w:b/>
          <w:color w:val="000000"/>
          <w:sz w:val="22"/>
          <w:szCs w:val="22"/>
          <w:u w:val="single"/>
        </w:rPr>
      </w:pPr>
      <w:r w:rsidRPr="00B479BF">
        <w:rPr>
          <w:rFonts w:ascii="Arial" w:hAnsi="Arial" w:cs="Arial"/>
          <w:b/>
          <w:color w:val="000000"/>
          <w:sz w:val="22"/>
          <w:szCs w:val="22"/>
          <w:u w:val="single"/>
        </w:rPr>
        <w:t>Notas aclaratorias:</w:t>
      </w:r>
    </w:p>
    <w:p w:rsidR="00B479BF" w:rsidRPr="00B479BF" w:rsidRDefault="00B479BF" w:rsidP="0031270B">
      <w:pPr>
        <w:pStyle w:val="texto8novedades"/>
        <w:spacing w:before="105" w:beforeAutospacing="0" w:after="0" w:afterAutospacing="0"/>
        <w:ind w:left="-851" w:right="-1135"/>
        <w:jc w:val="both"/>
        <w:rPr>
          <w:rFonts w:ascii="Arial" w:hAnsi="Arial" w:cs="Arial"/>
          <w:b/>
          <w:color w:val="000000"/>
          <w:sz w:val="18"/>
          <w:szCs w:val="18"/>
          <w:u w:val="single"/>
        </w:rPr>
      </w:pPr>
    </w:p>
    <w:p w:rsidR="00735D3C" w:rsidRPr="0031270B" w:rsidRDefault="00B479BF"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 xml:space="preserve"> </w:t>
      </w:r>
      <w:r w:rsidR="00735D3C" w:rsidRPr="0031270B">
        <w:rPr>
          <w:rFonts w:ascii="Arial" w:hAnsi="Arial" w:cs="Arial"/>
          <w:b/>
          <w:color w:val="000000"/>
          <w:sz w:val="18"/>
          <w:szCs w:val="18"/>
        </w:rPr>
        <w:t>(1) Deuda impositiva y de los recursos de la seguridad social, incluidos aportes personales de trabajadores en relación de dependencia.</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0" w:name="nota02"/>
      <w:bookmarkEnd w:id="0"/>
      <w:r w:rsidRPr="0031270B">
        <w:rPr>
          <w:rFonts w:ascii="Arial" w:hAnsi="Arial" w:cs="Arial"/>
          <w:b/>
          <w:color w:val="000000"/>
          <w:sz w:val="18"/>
          <w:szCs w:val="18"/>
        </w:rPr>
        <w:t>(2) Están comprendidos los sujetos alcanzados por la ley 26509 y la resolución general 2723 referidos a emergencia agropecuaria, como también los responsables alcanzados por el estado de emergencia y/o desastre declarado en determinadas zonas del país por leyes, decretos -ambos nacionales- y/o normas emitidas por esta Administración Federal, donde se otorguen plazos especiales de cumplimiento de obligaciones y/o facilidades de pago, siempre que cuenten con la caracterización correspondiente en el “Sistema Registral”.</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Solo se podrán incluir obligaciones vencidas hasta el cese de la vigencia de la caracterización, siempre que esta fecha hubiera operado dentro de los doce (12) meses anteriores a la fecha de la adhesión.</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Se podrá realizar la presentación de hasta un (1) plan por mes calendario, siempre que el mismo permanezca vigente.</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1" w:name="nota03"/>
      <w:bookmarkEnd w:id="1"/>
      <w:r w:rsidRPr="0031270B">
        <w:rPr>
          <w:rFonts w:ascii="Arial" w:hAnsi="Arial" w:cs="Arial"/>
          <w:b/>
          <w:color w:val="000000"/>
          <w:sz w:val="18"/>
          <w:szCs w:val="18"/>
        </w:rPr>
        <w:t>(3) Deuda impositiva y de los recursos de la seguridad social, excluidos aportes personales de trabajadores en relación de dependencia a cargo de contribuyentes que hubieran adherido a planes de dación en pago de espacios publicitarios, vencida hasta el 31 de diciembre de 2015 (D. 852/2014 y su modificatorio).</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Se podrá realizar la presentación de hasta un (1) plan por mes calendario, siempre que el mismo permanezca vigente.</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2" w:name="nota04"/>
      <w:bookmarkEnd w:id="2"/>
      <w:r w:rsidRPr="0031270B">
        <w:rPr>
          <w:rFonts w:ascii="Arial" w:hAnsi="Arial" w:cs="Arial"/>
          <w:b/>
          <w:color w:val="000000"/>
          <w:sz w:val="18"/>
          <w:szCs w:val="18"/>
        </w:rPr>
        <w:t>(4) Se podrá realizar la presentación de hasta un (1) plan por mes calendario, siempre que el mismo permanezca vigente.</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3" w:name="nota05"/>
      <w:bookmarkEnd w:id="3"/>
      <w:r w:rsidRPr="0031270B">
        <w:rPr>
          <w:rFonts w:ascii="Arial" w:hAnsi="Arial" w:cs="Arial"/>
          <w:b/>
          <w:color w:val="000000"/>
          <w:sz w:val="18"/>
          <w:szCs w:val="18"/>
        </w:rPr>
        <w:t>(5) Multas impuestas, cargos suplementarios por tributos a la importación/exportación y liquidaciones comprendidas en el procedimiento para las infracciones.</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Se podrá realizar la presentación de hasta un (1) plan por mes calendario, siempre que el mismo permanezca vigente.</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4" w:name="nota06"/>
      <w:bookmarkEnd w:id="4"/>
      <w:r w:rsidRPr="0031270B">
        <w:rPr>
          <w:rFonts w:ascii="Arial" w:hAnsi="Arial" w:cs="Arial"/>
          <w:b/>
          <w:color w:val="000000"/>
          <w:sz w:val="18"/>
          <w:szCs w:val="18"/>
        </w:rPr>
        <w:t>(6) Deuda impositiva y de los recursos de la seguridad social, incluidos aportes personales de trabajadores en relación de dependencia. Multas impuestas, cargos suplementarios por tributos a la importación/exportación y liquidaciones comprendidas en el procedimiento para las infracciones. Este plan no admitirá la cancelación de intereses punitorios.</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bookmarkStart w:id="5" w:name="nota07"/>
      <w:bookmarkEnd w:id="5"/>
      <w:r w:rsidRPr="0031270B">
        <w:rPr>
          <w:rFonts w:ascii="Arial" w:hAnsi="Arial" w:cs="Arial"/>
          <w:b/>
          <w:color w:val="000000"/>
          <w:sz w:val="18"/>
          <w:szCs w:val="18"/>
        </w:rPr>
        <w:t>(7) Ajustes y/o multas formales y materiales resultantes de la actividad fiscalizadora, conformados, incluidas percepciones y retenciones impositivas o aportes personales, así como determinaciones de oficio por obligaciones impositivas y de los recursos de la seguridad social, incluidos aportes personales de trabajadores en relación de dependencia, retenciones y percepciones. Las multas formales y materiales recurridas no podrán incluirse en este tipo de plan, siendo factible incluirlas en planes de tipo general o de gestión judicial.</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Se podrá realizar la presentación de hasta un (1) plan por mes calendario, siempre que el mismo permanezca vigente.</w:t>
      </w:r>
    </w:p>
    <w:p w:rsidR="00735D3C" w:rsidRPr="0031270B" w:rsidRDefault="00735D3C" w:rsidP="0031270B">
      <w:pPr>
        <w:pStyle w:val="texto8novedades"/>
        <w:spacing w:before="105" w:beforeAutospacing="0" w:after="0" w:afterAutospacing="0"/>
        <w:ind w:left="-851" w:right="-1135"/>
        <w:jc w:val="both"/>
        <w:rPr>
          <w:rFonts w:ascii="Arial" w:hAnsi="Arial" w:cs="Arial"/>
          <w:b/>
          <w:color w:val="000000"/>
          <w:sz w:val="18"/>
          <w:szCs w:val="18"/>
        </w:rPr>
      </w:pPr>
      <w:r w:rsidRPr="0031270B">
        <w:rPr>
          <w:rFonts w:ascii="Arial" w:hAnsi="Arial" w:cs="Arial"/>
          <w:b/>
          <w:color w:val="000000"/>
          <w:sz w:val="18"/>
          <w:szCs w:val="18"/>
        </w:rPr>
        <w:t>No podrán incluirse en este plan las deudas susceptibles de ser canceladas mediante el régimen de regularización de deudas generadas en la exclusión del Régimen Simplificado para Pequeños Contribuyentes (RS).</w:t>
      </w:r>
    </w:p>
    <w:p w:rsidR="00735D3C" w:rsidRPr="00EF57C1" w:rsidRDefault="00735D3C" w:rsidP="00735D3C">
      <w:pPr>
        <w:pStyle w:val="Textoindependiente"/>
        <w:tabs>
          <w:tab w:val="left" w:pos="709"/>
        </w:tabs>
        <w:ind w:right="23"/>
        <w:rPr>
          <w:b/>
          <w:highlight w:val="yellow"/>
          <w:u w:val="single"/>
        </w:rPr>
      </w:pPr>
    </w:p>
    <w:p w:rsidR="00735D3C" w:rsidRPr="00EF57C1" w:rsidRDefault="00735D3C" w:rsidP="00735D3C">
      <w:pPr>
        <w:pStyle w:val="Textoindependiente"/>
        <w:tabs>
          <w:tab w:val="left" w:pos="709"/>
        </w:tabs>
        <w:ind w:right="23"/>
        <w:rPr>
          <w:b/>
          <w:highlight w:val="yellow"/>
          <w:u w:val="single"/>
        </w:rPr>
      </w:pPr>
    </w:p>
    <w:p w:rsidR="00D3742B" w:rsidRPr="00EF57C1" w:rsidRDefault="00D3742B" w:rsidP="00D3742B">
      <w:pPr>
        <w:pStyle w:val="Textoindependiente"/>
        <w:tabs>
          <w:tab w:val="left" w:pos="9356"/>
        </w:tabs>
        <w:ind w:right="23"/>
        <w:rPr>
          <w:highlight w:val="yellow"/>
        </w:rPr>
      </w:pPr>
    </w:p>
    <w:p w:rsidR="009724B5" w:rsidRDefault="009724B5"/>
    <w:sectPr w:rsidR="009724B5" w:rsidSect="008C34CF">
      <w:headerReference w:type="default" r:id="rId31"/>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D2" w:rsidRDefault="002C0FD2" w:rsidP="00735D3C">
      <w:r>
        <w:separator/>
      </w:r>
    </w:p>
  </w:endnote>
  <w:endnote w:type="continuationSeparator" w:id="1">
    <w:p w:rsidR="002C0FD2" w:rsidRDefault="002C0FD2"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tsaah">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D2" w:rsidRDefault="002C0FD2" w:rsidP="00735D3C">
      <w:r>
        <w:separator/>
      </w:r>
    </w:p>
  </w:footnote>
  <w:footnote w:type="continuationSeparator" w:id="1">
    <w:p w:rsidR="002C0FD2" w:rsidRDefault="002C0FD2"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D2" w:rsidRDefault="002C0FD2" w:rsidP="00E6723C">
    <w:pPr>
      <w:pStyle w:val="Encabezado"/>
      <w:pBdr>
        <w:bottom w:val="single" w:sz="12" w:space="1" w:color="000080"/>
      </w:pBdr>
      <w:tabs>
        <w:tab w:val="right" w:pos="9417"/>
      </w:tabs>
      <w:jc w:val="both"/>
      <w:rPr>
        <w:b/>
        <w:color w:val="000080"/>
      </w:rPr>
    </w:pPr>
    <w:r>
      <w:rPr>
        <w:b/>
        <w:color w:val="000080"/>
      </w:rPr>
      <w:tab/>
    </w:r>
    <w:r>
      <w:rPr>
        <w:b/>
        <w:color w:val="000080"/>
      </w:rPr>
      <w:tab/>
      <w:t>FABETTI, BERTANI &amp; ASOCIADOS</w:t>
    </w:r>
  </w:p>
  <w:p w:rsidR="002C0FD2" w:rsidRDefault="002C0F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nsid w:val="16D47267"/>
    <w:multiLevelType w:val="hybridMultilevel"/>
    <w:tmpl w:val="ABAC7820"/>
    <w:lvl w:ilvl="0" w:tplc="0C0A0017">
      <w:start w:val="1"/>
      <w:numFmt w:val="lowerLetter"/>
      <w:lvlText w:val="%1)"/>
      <w:lvlJc w:val="left"/>
      <w:pPr>
        <w:tabs>
          <w:tab w:val="num" w:pos="644"/>
        </w:tabs>
        <w:ind w:left="644" w:hanging="360"/>
      </w:p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9">
    <w:nsid w:val="23C21485"/>
    <w:multiLevelType w:val="hybridMultilevel"/>
    <w:tmpl w:val="B446911C"/>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1">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3">
    <w:nsid w:val="28F216D4"/>
    <w:multiLevelType w:val="hybridMultilevel"/>
    <w:tmpl w:val="B92AF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7">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37253A66"/>
    <w:multiLevelType w:val="hybridMultilevel"/>
    <w:tmpl w:val="62A6D230"/>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9">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0">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1">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3">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25">
    <w:nsid w:val="57B92E72"/>
    <w:multiLevelType w:val="hybridMultilevel"/>
    <w:tmpl w:val="AB6CFE24"/>
    <w:lvl w:ilvl="0" w:tplc="2C0A000B">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26">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27">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9">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0">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31">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760E58EF"/>
    <w:multiLevelType w:val="hybridMultilevel"/>
    <w:tmpl w:val="7042ECF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3"/>
  </w:num>
  <w:num w:numId="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27"/>
  </w:num>
  <w:num w:numId="9">
    <w:abstractNumId w:val="6"/>
  </w:num>
  <w:num w:numId="10">
    <w:abstractNumId w:val="15"/>
  </w:num>
  <w:num w:numId="11">
    <w:abstractNumId w:val="10"/>
  </w:num>
  <w:num w:numId="12">
    <w:abstractNumId w:val="18"/>
  </w:num>
  <w:num w:numId="13">
    <w:abstractNumId w:val="19"/>
  </w:num>
  <w:num w:numId="14">
    <w:abstractNumId w:val="28"/>
  </w:num>
  <w:num w:numId="15">
    <w:abstractNumId w:val="24"/>
  </w:num>
  <w:num w:numId="16">
    <w:abstractNumId w:val="26"/>
  </w:num>
  <w:num w:numId="17">
    <w:abstractNumId w:val="20"/>
  </w:num>
  <w:num w:numId="18">
    <w:abstractNumId w:val="29"/>
  </w:num>
  <w:num w:numId="19">
    <w:abstractNumId w:val="8"/>
  </w:num>
  <w:num w:numId="20">
    <w:abstractNumId w:val="0"/>
  </w:num>
  <w:num w:numId="21">
    <w:abstractNumId w:val="4"/>
  </w:num>
  <w:num w:numId="22">
    <w:abstractNumId w:val="16"/>
  </w:num>
  <w:num w:numId="23">
    <w:abstractNumId w:val="1"/>
  </w:num>
  <w:num w:numId="24">
    <w:abstractNumId w:val="5"/>
  </w:num>
  <w:num w:numId="25">
    <w:abstractNumId w:val="30"/>
  </w:num>
  <w:num w:numId="26">
    <w:abstractNumId w:val="22"/>
  </w:num>
  <w:num w:numId="27">
    <w:abstractNumId w:val="32"/>
  </w:num>
  <w:num w:numId="28">
    <w:abstractNumId w:val="2"/>
  </w:num>
  <w:num w:numId="29">
    <w:abstractNumId w:val="12"/>
  </w:num>
  <w:num w:numId="30">
    <w:abstractNumId w:val="3"/>
  </w:num>
  <w:num w:numId="31">
    <w:abstractNumId w:val="21"/>
  </w:num>
  <w:num w:numId="32">
    <w:abstractNumId w:val="9"/>
  </w:num>
  <w:num w:numId="33">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21895"/>
    <w:rsid w:val="00035F54"/>
    <w:rsid w:val="00037285"/>
    <w:rsid w:val="0005275A"/>
    <w:rsid w:val="0006282E"/>
    <w:rsid w:val="00085473"/>
    <w:rsid w:val="000A3CC8"/>
    <w:rsid w:val="000D7744"/>
    <w:rsid w:val="000E4EC1"/>
    <w:rsid w:val="000F0504"/>
    <w:rsid w:val="000F5D32"/>
    <w:rsid w:val="00100A9C"/>
    <w:rsid w:val="0013588D"/>
    <w:rsid w:val="0016360F"/>
    <w:rsid w:val="00193836"/>
    <w:rsid w:val="001D76E2"/>
    <w:rsid w:val="002350C7"/>
    <w:rsid w:val="002852D8"/>
    <w:rsid w:val="002C0FD2"/>
    <w:rsid w:val="002C1CFD"/>
    <w:rsid w:val="002D6576"/>
    <w:rsid w:val="002D6928"/>
    <w:rsid w:val="002D7AA7"/>
    <w:rsid w:val="0031270B"/>
    <w:rsid w:val="00317070"/>
    <w:rsid w:val="003847AF"/>
    <w:rsid w:val="00397996"/>
    <w:rsid w:val="003A3111"/>
    <w:rsid w:val="003B1345"/>
    <w:rsid w:val="003B77CD"/>
    <w:rsid w:val="003D73ED"/>
    <w:rsid w:val="00447537"/>
    <w:rsid w:val="004510E5"/>
    <w:rsid w:val="0046637C"/>
    <w:rsid w:val="00503DA9"/>
    <w:rsid w:val="005310CC"/>
    <w:rsid w:val="00545CFB"/>
    <w:rsid w:val="00552F23"/>
    <w:rsid w:val="00582429"/>
    <w:rsid w:val="005906F9"/>
    <w:rsid w:val="005929E2"/>
    <w:rsid w:val="005A36CB"/>
    <w:rsid w:val="005A72F1"/>
    <w:rsid w:val="005B7CAC"/>
    <w:rsid w:val="005C3C0F"/>
    <w:rsid w:val="005C6853"/>
    <w:rsid w:val="005C7025"/>
    <w:rsid w:val="005F07C2"/>
    <w:rsid w:val="00630736"/>
    <w:rsid w:val="00644899"/>
    <w:rsid w:val="00677852"/>
    <w:rsid w:val="006B04AA"/>
    <w:rsid w:val="006C47D1"/>
    <w:rsid w:val="006D20AF"/>
    <w:rsid w:val="006E3492"/>
    <w:rsid w:val="00714BE5"/>
    <w:rsid w:val="00722235"/>
    <w:rsid w:val="00735D3C"/>
    <w:rsid w:val="007370D6"/>
    <w:rsid w:val="0077354E"/>
    <w:rsid w:val="00777B34"/>
    <w:rsid w:val="0078205D"/>
    <w:rsid w:val="007A655C"/>
    <w:rsid w:val="007A7519"/>
    <w:rsid w:val="007C03CD"/>
    <w:rsid w:val="007D21E7"/>
    <w:rsid w:val="007E1FE7"/>
    <w:rsid w:val="008110EC"/>
    <w:rsid w:val="00837CBF"/>
    <w:rsid w:val="008441A3"/>
    <w:rsid w:val="00880D84"/>
    <w:rsid w:val="008C34CF"/>
    <w:rsid w:val="008D3CC4"/>
    <w:rsid w:val="008F2287"/>
    <w:rsid w:val="008F2CAE"/>
    <w:rsid w:val="00910BFF"/>
    <w:rsid w:val="00920E31"/>
    <w:rsid w:val="0092675E"/>
    <w:rsid w:val="00940CCB"/>
    <w:rsid w:val="00945CBE"/>
    <w:rsid w:val="00961870"/>
    <w:rsid w:val="009724B5"/>
    <w:rsid w:val="00984AFF"/>
    <w:rsid w:val="00987D0A"/>
    <w:rsid w:val="00990C14"/>
    <w:rsid w:val="009C7FA4"/>
    <w:rsid w:val="009D0541"/>
    <w:rsid w:val="00A13539"/>
    <w:rsid w:val="00A15CA4"/>
    <w:rsid w:val="00A345F3"/>
    <w:rsid w:val="00B0738C"/>
    <w:rsid w:val="00B34396"/>
    <w:rsid w:val="00B4192E"/>
    <w:rsid w:val="00B479BF"/>
    <w:rsid w:val="00B60247"/>
    <w:rsid w:val="00B653A0"/>
    <w:rsid w:val="00BA219C"/>
    <w:rsid w:val="00BB145E"/>
    <w:rsid w:val="00BB55B0"/>
    <w:rsid w:val="00BC3ADD"/>
    <w:rsid w:val="00BD54BA"/>
    <w:rsid w:val="00C167E1"/>
    <w:rsid w:val="00C200BE"/>
    <w:rsid w:val="00C2495F"/>
    <w:rsid w:val="00C36E2C"/>
    <w:rsid w:val="00C4130E"/>
    <w:rsid w:val="00C56865"/>
    <w:rsid w:val="00C945C7"/>
    <w:rsid w:val="00CA11D3"/>
    <w:rsid w:val="00CB5455"/>
    <w:rsid w:val="00D131B9"/>
    <w:rsid w:val="00D15A16"/>
    <w:rsid w:val="00D25567"/>
    <w:rsid w:val="00D3742B"/>
    <w:rsid w:val="00D40750"/>
    <w:rsid w:val="00D75B05"/>
    <w:rsid w:val="00D848F2"/>
    <w:rsid w:val="00D853B3"/>
    <w:rsid w:val="00DD7E60"/>
    <w:rsid w:val="00DF3795"/>
    <w:rsid w:val="00E176FD"/>
    <w:rsid w:val="00E17823"/>
    <w:rsid w:val="00E3553B"/>
    <w:rsid w:val="00E50A20"/>
    <w:rsid w:val="00E6723C"/>
    <w:rsid w:val="00EB1A1B"/>
    <w:rsid w:val="00EC159E"/>
    <w:rsid w:val="00EC4C20"/>
    <w:rsid w:val="00EF57C1"/>
    <w:rsid w:val="00F05B53"/>
    <w:rsid w:val="00F21D4B"/>
    <w:rsid w:val="00F273FF"/>
    <w:rsid w:val="00F3633F"/>
    <w:rsid w:val="00F61373"/>
    <w:rsid w:val="00F61719"/>
    <w:rsid w:val="00F71374"/>
    <w:rsid w:val="00F91FCF"/>
    <w:rsid w:val="00FB7538"/>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80702080116558.html?k=20180702080116558.docx" TargetMode="External"/><Relationship Id="rId13" Type="http://schemas.openxmlformats.org/officeDocument/2006/relationships/hyperlink" Target="http://eol.errepar.com/sitios/ver/html/20180702080116558.html?k=20180702080116558.docx" TargetMode="External"/><Relationship Id="rId18" Type="http://schemas.openxmlformats.org/officeDocument/2006/relationships/hyperlink" Target="http://eol.errepar.com/sitios/ver/html/20180702080116558.html?k=20180702080116558.docx" TargetMode="External"/><Relationship Id="rId26" Type="http://schemas.openxmlformats.org/officeDocument/2006/relationships/hyperlink" Target="http://eol.errepar.com/sitios/ver/html/20180702080116558.html?k=20180702080116558.docx" TargetMode="External"/><Relationship Id="rId3" Type="http://schemas.openxmlformats.org/officeDocument/2006/relationships/styles" Target="styles.xml"/><Relationship Id="rId21" Type="http://schemas.openxmlformats.org/officeDocument/2006/relationships/hyperlink" Target="http://eol.errepar.com/sitios/ver/html/20180702080116558.html?k=20180702080116558.docx" TargetMode="External"/><Relationship Id="rId7" Type="http://schemas.openxmlformats.org/officeDocument/2006/relationships/endnotes" Target="endnotes.xml"/><Relationship Id="rId12" Type="http://schemas.openxmlformats.org/officeDocument/2006/relationships/hyperlink" Target="http://eol.errepar.com/sitios/ver/html/20180702080116558.html?k=20180702080116558.docx" TargetMode="External"/><Relationship Id="rId17" Type="http://schemas.openxmlformats.org/officeDocument/2006/relationships/hyperlink" Target="http://eol.errepar.com/sitios/ver/html/20180702080116558.html?k=20180702080116558.docx" TargetMode="External"/><Relationship Id="rId25" Type="http://schemas.openxmlformats.org/officeDocument/2006/relationships/hyperlink" Target="http://eol.errepar.com/sitios/ver/html/20180702080116558.html?k=20180702080116558.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ol.errepar.com/sitios/ver/html/20180702080116558.html?k=20180702080116558.docx" TargetMode="External"/><Relationship Id="rId20" Type="http://schemas.openxmlformats.org/officeDocument/2006/relationships/hyperlink" Target="http://eol.errepar.com/sitios/ver/html/20180702080116558.html?k=20180702080116558.docx" TargetMode="External"/><Relationship Id="rId29" Type="http://schemas.openxmlformats.org/officeDocument/2006/relationships/hyperlink" Target="http://eol.errepar.com/sitios/ver/html/20180702080116558.html?k=20180702080116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80702080116558.html?k=20180702080116558.docx" TargetMode="External"/><Relationship Id="rId24" Type="http://schemas.openxmlformats.org/officeDocument/2006/relationships/hyperlink" Target="http://eol.errepar.com/sitios/ver/html/20180702080116558.html?k=20180702080116558.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ol.errepar.com/sitios/ver/html/20180702080116558.html?k=20180702080116558.docx" TargetMode="External"/><Relationship Id="rId23" Type="http://schemas.openxmlformats.org/officeDocument/2006/relationships/hyperlink" Target="http://eol.errepar.com/sitios/ver/html/20180702080116558.html?k=20180702080116558.docx" TargetMode="External"/><Relationship Id="rId28" Type="http://schemas.openxmlformats.org/officeDocument/2006/relationships/hyperlink" Target="http://eol.errepar.com/sitios/ver/html/20180702080116558.html?k=20180702080116558.docx" TargetMode="External"/><Relationship Id="rId10" Type="http://schemas.openxmlformats.org/officeDocument/2006/relationships/hyperlink" Target="http://eol.errepar.com/sitios/ver/html/20180702080116558.html?k=20180702080116558.docx" TargetMode="External"/><Relationship Id="rId19" Type="http://schemas.openxmlformats.org/officeDocument/2006/relationships/hyperlink" Target="http://eol.errepar.com/sitios/ver/html/20180702080116558.html?k=20180702080116558.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ol.errepar.com/sitios/ver/html/20180702080116558.html?k=20180702080116558.docx" TargetMode="External"/><Relationship Id="rId14" Type="http://schemas.openxmlformats.org/officeDocument/2006/relationships/hyperlink" Target="http://eol.errepar.com/sitios/ver/html/20180702080116558.html?k=20180702080116558.docx" TargetMode="External"/><Relationship Id="rId22" Type="http://schemas.openxmlformats.org/officeDocument/2006/relationships/hyperlink" Target="http://eol.errepar.com/sitios/ver/html/20180702080116558.html?k=20180702080116558.docx" TargetMode="External"/><Relationship Id="rId27" Type="http://schemas.openxmlformats.org/officeDocument/2006/relationships/hyperlink" Target="http://eol.errepar.com/sitios/ver/html/20180702080116558.html?k=20180702080116558.docx" TargetMode="External"/><Relationship Id="rId30" Type="http://schemas.openxmlformats.org/officeDocument/2006/relationships/hyperlink" Target="http://eol.errepar.com/sitios/ver/html/20180702080116558.html?k=20180702080116558.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AA40-DF9E-4BFD-9BB4-105AAF7D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4316</Words>
  <Characters>23740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55</cp:revision>
  <cp:lastPrinted>2018-09-04T19:09:00Z</cp:lastPrinted>
  <dcterms:created xsi:type="dcterms:W3CDTF">2018-09-04T15:04:00Z</dcterms:created>
  <dcterms:modified xsi:type="dcterms:W3CDTF">2018-09-25T20:36:00Z</dcterms:modified>
</cp:coreProperties>
</file>