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15" w:rsidRDefault="00362E15" w:rsidP="00D3742B">
      <w:pPr>
        <w:ind w:right="1043"/>
        <w:rPr>
          <w:b/>
          <w:sz w:val="28"/>
          <w:u w:val="single"/>
        </w:rPr>
      </w:pPr>
    </w:p>
    <w:p w:rsidR="00D3742B" w:rsidRDefault="00D3742B" w:rsidP="00D3742B">
      <w:pPr>
        <w:ind w:right="1043"/>
        <w:rPr>
          <w:b/>
          <w:u w:val="single"/>
        </w:rPr>
      </w:pPr>
      <w:r>
        <w:rPr>
          <w:b/>
          <w:sz w:val="28"/>
          <w:u w:val="single"/>
        </w:rPr>
        <w:t>CIRCULAR IMPOSITIVA NRO.</w:t>
      </w:r>
      <w:r w:rsidR="00A92D07">
        <w:rPr>
          <w:b/>
          <w:sz w:val="28"/>
          <w:u w:val="single"/>
        </w:rPr>
        <w:t>929</w:t>
      </w:r>
    </w:p>
    <w:p w:rsidR="00D3742B" w:rsidRDefault="00D3742B" w:rsidP="00D3742B">
      <w:pPr>
        <w:pStyle w:val="Ttulo5"/>
        <w:jc w:val="left"/>
        <w:rPr>
          <w:i/>
        </w:rPr>
      </w:pPr>
    </w:p>
    <w:p w:rsidR="00D3742B" w:rsidRDefault="00D3742B" w:rsidP="00D3742B"/>
    <w:p w:rsidR="00D3742B" w:rsidRDefault="00A92D07" w:rsidP="00D3742B">
      <w:pPr>
        <w:pStyle w:val="Ttulo5"/>
        <w:jc w:val="left"/>
        <w:rPr>
          <w:i/>
          <w:lang w:val="es-ES_tradnl"/>
        </w:rPr>
      </w:pPr>
      <w:r>
        <w:rPr>
          <w:i/>
          <w:lang w:val="es-ES_tradnl"/>
        </w:rPr>
        <w:t>Resolución General N° 4289</w:t>
      </w:r>
      <w:r w:rsidR="00D3742B">
        <w:rPr>
          <w:i/>
          <w:lang w:val="es-ES_tradnl"/>
        </w:rPr>
        <w:t xml:space="preserve"> AFIP</w:t>
      </w:r>
    </w:p>
    <w:p w:rsidR="00D3742B" w:rsidRDefault="00D3742B" w:rsidP="00D3742B">
      <w:pPr>
        <w:pStyle w:val="Ttulo5"/>
        <w:jc w:val="left"/>
        <w:rPr>
          <w:i/>
          <w:lang w:val="es-ES_tradnl"/>
        </w:rPr>
      </w:pPr>
      <w:r>
        <w:rPr>
          <w:i/>
          <w:lang w:val="es-ES_tradnl"/>
        </w:rPr>
        <w:t xml:space="preserve">Fecha de Norma: </w:t>
      </w:r>
      <w:r w:rsidR="00A92D07">
        <w:rPr>
          <w:i/>
          <w:lang w:val="es-ES_tradnl"/>
        </w:rPr>
        <w:t>02/08/2018</w:t>
      </w:r>
    </w:p>
    <w:p w:rsidR="00D3742B" w:rsidRDefault="00D3742B" w:rsidP="00D3742B">
      <w:pPr>
        <w:pStyle w:val="Ttulo5"/>
        <w:jc w:val="left"/>
        <w:rPr>
          <w:i/>
          <w:lang w:val="es-ES_tradnl"/>
        </w:rPr>
      </w:pPr>
      <w:r>
        <w:rPr>
          <w:i/>
          <w:lang w:val="es-ES_tradnl"/>
        </w:rPr>
        <w:t xml:space="preserve">Boletín Oficial </w:t>
      </w:r>
      <w:r w:rsidR="00A92D07">
        <w:rPr>
          <w:i/>
          <w:lang w:val="es-ES_tradnl"/>
        </w:rPr>
        <w:t>03/08/2018</w:t>
      </w:r>
      <w:r>
        <w:rPr>
          <w:i/>
          <w:lang w:val="es-ES_tradnl"/>
        </w:rPr>
        <w:t xml:space="preserve"> </w:t>
      </w:r>
    </w:p>
    <w:p w:rsidR="00D3742B" w:rsidRDefault="00D3742B" w:rsidP="00D3742B"/>
    <w:p w:rsidR="00D3742B" w:rsidRDefault="00D3742B" w:rsidP="00D3742B">
      <w:pPr>
        <w:ind w:right="50"/>
        <w:jc w:val="both"/>
        <w:rPr>
          <w:b/>
          <w:i/>
        </w:rPr>
      </w:pPr>
    </w:p>
    <w:p w:rsidR="00F530EA" w:rsidRDefault="00960C02" w:rsidP="00A92D07">
      <w:pPr>
        <w:ind w:right="50"/>
        <w:jc w:val="both"/>
        <w:rPr>
          <w:b/>
          <w:i/>
          <w:u w:val="single"/>
        </w:rPr>
      </w:pPr>
      <w:r>
        <w:rPr>
          <w:b/>
          <w:i/>
          <w:u w:val="single"/>
        </w:rPr>
        <w:t>Nuevo</w:t>
      </w:r>
      <w:r w:rsidR="00A92D07">
        <w:rPr>
          <w:b/>
          <w:i/>
          <w:u w:val="single"/>
        </w:rPr>
        <w:t xml:space="preserve"> plan de facilidades de pago por deudas vencidas hasta el 30/06/2018</w:t>
      </w:r>
      <w:r w:rsidR="002C6500">
        <w:rPr>
          <w:b/>
          <w:i/>
          <w:u w:val="single"/>
        </w:rPr>
        <w:t>. El mismo se encontrará vigente hasta el 31/10/2018.</w:t>
      </w:r>
    </w:p>
    <w:p w:rsidR="00960C02" w:rsidRDefault="00960C02" w:rsidP="00A92D07">
      <w:pPr>
        <w:ind w:right="50"/>
        <w:jc w:val="both"/>
        <w:rPr>
          <w:b/>
          <w:i/>
          <w:u w:val="single"/>
        </w:rPr>
      </w:pPr>
    </w:p>
    <w:p w:rsidR="00960C02" w:rsidRDefault="00960C02" w:rsidP="00A92D07">
      <w:pPr>
        <w:ind w:right="50"/>
        <w:jc w:val="both"/>
        <w:rPr>
          <w:b/>
          <w:i/>
          <w:u w:val="single"/>
        </w:rPr>
      </w:pPr>
    </w:p>
    <w:p w:rsidR="00960C02" w:rsidRDefault="00960C02" w:rsidP="00A92D07">
      <w:pPr>
        <w:ind w:right="50"/>
        <w:jc w:val="both"/>
        <w:rPr>
          <w:lang w:val="es-AR"/>
        </w:rPr>
      </w:pPr>
      <w:r>
        <w:rPr>
          <w:lang w:val="es-AR"/>
        </w:rPr>
        <w:t>A través de la Resolución General 4289 se establece un régimen de planes de facilidades de pago sujeto a las características de cada caso, aplicable para la cancelación de obligaciones impositivas y de los recursos de la seguridad social, retenciones y percepciones, vencidas hasta el 30 de junio de 2018, inclusive, así como de sus respectivos intereses.</w:t>
      </w:r>
    </w:p>
    <w:p w:rsidR="00960C02" w:rsidRDefault="00960C02" w:rsidP="00A92D07">
      <w:pPr>
        <w:ind w:right="50"/>
        <w:jc w:val="both"/>
        <w:rPr>
          <w:lang w:val="es-AR"/>
        </w:rPr>
      </w:pPr>
    </w:p>
    <w:p w:rsidR="00960C02" w:rsidRDefault="00960C02" w:rsidP="00A92D07">
      <w:pPr>
        <w:ind w:right="50"/>
        <w:jc w:val="both"/>
        <w:rPr>
          <w:lang w:val="es-AR"/>
        </w:rPr>
      </w:pPr>
      <w:r>
        <w:rPr>
          <w:lang w:val="es-AR"/>
        </w:rPr>
        <w:t>Podrán incluirse las obligaciones que hubieran sido incorporadas en planes de pagos anulados, rechazados o caducos.</w:t>
      </w:r>
    </w:p>
    <w:p w:rsidR="00960C02" w:rsidRDefault="00960C02" w:rsidP="00A92D07">
      <w:pPr>
        <w:ind w:right="50"/>
        <w:jc w:val="both"/>
        <w:rPr>
          <w:lang w:val="es-AR"/>
        </w:rPr>
      </w:pPr>
    </w:p>
    <w:p w:rsidR="00960C02" w:rsidRDefault="00960C02" w:rsidP="00A92D07">
      <w:pPr>
        <w:ind w:right="50"/>
        <w:jc w:val="both"/>
        <w:rPr>
          <w:lang w:val="es-AR"/>
        </w:rPr>
      </w:pPr>
      <w:r>
        <w:rPr>
          <w:lang w:val="es-AR"/>
        </w:rPr>
        <w:t>La cancelación mediante dicho plan no implica reducción alguna de intereses, como tampoco la liberación de las pertinentes sanciones.</w:t>
      </w:r>
    </w:p>
    <w:p w:rsidR="00960C02" w:rsidRPr="00960C02" w:rsidRDefault="00960C02" w:rsidP="00A92D07">
      <w:pPr>
        <w:ind w:right="50"/>
        <w:jc w:val="both"/>
        <w:rPr>
          <w:lang w:val="es-AR"/>
        </w:rPr>
      </w:pPr>
    </w:p>
    <w:p w:rsidR="00960C02" w:rsidRPr="00960C02" w:rsidRDefault="00960C02" w:rsidP="00A92D07">
      <w:pPr>
        <w:ind w:right="50"/>
        <w:jc w:val="both"/>
        <w:rPr>
          <w:lang w:val="es-AR"/>
        </w:rPr>
      </w:pPr>
    </w:p>
    <w:p w:rsidR="00BC3ADD" w:rsidRPr="00960C02" w:rsidRDefault="00362E15" w:rsidP="00960C02">
      <w:pPr>
        <w:ind w:right="50"/>
        <w:jc w:val="both"/>
        <w:rPr>
          <w:b/>
          <w:u w:val="single"/>
          <w:lang w:val="es-AR"/>
        </w:rPr>
      </w:pPr>
      <w:r>
        <w:rPr>
          <w:b/>
          <w:u w:val="single"/>
          <w:lang w:val="es-AR"/>
        </w:rPr>
        <w:t>Conceptos</w:t>
      </w:r>
      <w:r w:rsidRPr="00960C02">
        <w:rPr>
          <w:b/>
          <w:u w:val="single"/>
          <w:lang w:val="es-AR"/>
        </w:rPr>
        <w:t xml:space="preserve"> </w:t>
      </w:r>
      <w:r w:rsidR="00BC3ADD" w:rsidRPr="00960C02">
        <w:rPr>
          <w:b/>
          <w:u w:val="single"/>
          <w:lang w:val="es-AR"/>
        </w:rPr>
        <w:t>alcanzados</w:t>
      </w:r>
    </w:p>
    <w:p w:rsidR="00D3742B" w:rsidRDefault="00D3742B" w:rsidP="00960C02">
      <w:pPr>
        <w:pStyle w:val="Textoindependiente"/>
        <w:widowControl w:val="0"/>
        <w:tabs>
          <w:tab w:val="left" w:pos="9356"/>
        </w:tabs>
        <w:ind w:left="-284" w:right="23"/>
        <w:rPr>
          <w:lang w:val="es-AR"/>
        </w:rPr>
      </w:pPr>
    </w:p>
    <w:p w:rsidR="00D3742B" w:rsidRDefault="00D3742B" w:rsidP="00881887">
      <w:pPr>
        <w:pStyle w:val="Textoindependiente"/>
        <w:widowControl w:val="0"/>
        <w:tabs>
          <w:tab w:val="left" w:pos="9356"/>
        </w:tabs>
        <w:ind w:right="23"/>
        <w:rPr>
          <w:lang w:val="es-AR"/>
        </w:rPr>
      </w:pPr>
      <w:r>
        <w:rPr>
          <w:lang w:val="es-AR"/>
        </w:rPr>
        <w:t xml:space="preserve">El régimen de facilidades de pago </w:t>
      </w:r>
      <w:r w:rsidR="00F530EA">
        <w:rPr>
          <w:lang w:val="es-AR"/>
        </w:rPr>
        <w:t xml:space="preserve">comprende tres categorías de planes, según el tipo de obligación </w:t>
      </w:r>
      <w:r w:rsidR="00881887">
        <w:rPr>
          <w:lang w:val="es-AR"/>
        </w:rPr>
        <w:t xml:space="preserve">de </w:t>
      </w:r>
      <w:r w:rsidR="00F530EA">
        <w:rPr>
          <w:lang w:val="es-AR"/>
        </w:rPr>
        <w:t>que se trate</w:t>
      </w:r>
      <w:r w:rsidR="009B3327">
        <w:rPr>
          <w:lang w:val="es-AR"/>
        </w:rPr>
        <w:t>:</w:t>
      </w:r>
    </w:p>
    <w:p w:rsidR="00D3742B" w:rsidRDefault="00D3742B" w:rsidP="00D3742B">
      <w:pPr>
        <w:pStyle w:val="Textoindependiente"/>
        <w:widowControl w:val="0"/>
        <w:tabs>
          <w:tab w:val="left" w:pos="9356"/>
        </w:tabs>
        <w:ind w:right="23"/>
        <w:rPr>
          <w:lang w:val="es-AR"/>
        </w:rPr>
      </w:pPr>
    </w:p>
    <w:p w:rsidR="00362E15" w:rsidRDefault="00D3742B" w:rsidP="00362E15">
      <w:pPr>
        <w:pStyle w:val="Textoindependiente"/>
        <w:widowControl w:val="0"/>
        <w:numPr>
          <w:ilvl w:val="0"/>
          <w:numId w:val="37"/>
        </w:numPr>
        <w:tabs>
          <w:tab w:val="left" w:pos="9356"/>
        </w:tabs>
        <w:ind w:right="23"/>
        <w:rPr>
          <w:lang w:val="es-AR"/>
        </w:rPr>
      </w:pPr>
      <w:r w:rsidRPr="00362E15">
        <w:rPr>
          <w:u w:val="single"/>
          <w:lang w:val="es-AR"/>
        </w:rPr>
        <w:t xml:space="preserve">Obligaciones </w:t>
      </w:r>
      <w:r w:rsidR="00F530EA" w:rsidRPr="00362E15">
        <w:rPr>
          <w:u w:val="single"/>
          <w:lang w:val="es-AR"/>
        </w:rPr>
        <w:t>anuales, aportes, retenciones y percepciones</w:t>
      </w:r>
      <w:r w:rsidR="00F530EA">
        <w:rPr>
          <w:lang w:val="es-AR"/>
        </w:rPr>
        <w:t xml:space="preserve">: </w:t>
      </w:r>
      <w:r w:rsidR="00362E15">
        <w:rPr>
          <w:lang w:val="es-AR"/>
        </w:rPr>
        <w:t>Se podrán incluir deudas correspondientes a:</w:t>
      </w:r>
    </w:p>
    <w:p w:rsidR="00362E15" w:rsidRDefault="009B088B" w:rsidP="00362E15">
      <w:pPr>
        <w:pStyle w:val="Textoindependiente"/>
        <w:widowControl w:val="0"/>
        <w:numPr>
          <w:ilvl w:val="0"/>
          <w:numId w:val="36"/>
        </w:numPr>
        <w:tabs>
          <w:tab w:val="clear" w:pos="720"/>
          <w:tab w:val="num" w:pos="1560"/>
        </w:tabs>
        <w:ind w:left="1560" w:right="23" w:hanging="426"/>
        <w:rPr>
          <w:lang w:val="es-AR"/>
        </w:rPr>
      </w:pPr>
      <w:r>
        <w:rPr>
          <w:lang w:val="es-AR"/>
        </w:rPr>
        <w:t xml:space="preserve">Obligaciones impositivas cuya determinación debe efectuarse </w:t>
      </w:r>
      <w:r w:rsidR="00362E15">
        <w:rPr>
          <w:lang w:val="es-AR"/>
        </w:rPr>
        <w:t>por periodos anuales.</w:t>
      </w:r>
    </w:p>
    <w:p w:rsidR="00362E15" w:rsidRPr="00362E15" w:rsidRDefault="00362E15" w:rsidP="00362E15">
      <w:pPr>
        <w:pStyle w:val="Textoindependiente"/>
        <w:widowControl w:val="0"/>
        <w:numPr>
          <w:ilvl w:val="0"/>
          <w:numId w:val="36"/>
        </w:numPr>
        <w:tabs>
          <w:tab w:val="clear" w:pos="720"/>
          <w:tab w:val="num" w:pos="1560"/>
        </w:tabs>
        <w:ind w:left="1560" w:right="23" w:hanging="426"/>
        <w:rPr>
          <w:lang w:val="es-AR"/>
        </w:rPr>
      </w:pPr>
      <w:r>
        <w:rPr>
          <w:lang w:val="es-AR"/>
        </w:rPr>
        <w:t>A</w:t>
      </w:r>
      <w:r w:rsidR="009B088B">
        <w:rPr>
          <w:lang w:val="es-AR"/>
        </w:rPr>
        <w:t xml:space="preserve">portes personales de </w:t>
      </w:r>
      <w:r>
        <w:rPr>
          <w:lang w:val="es-AR"/>
        </w:rPr>
        <w:t xml:space="preserve">los </w:t>
      </w:r>
      <w:r w:rsidR="009B088B">
        <w:rPr>
          <w:lang w:val="es-AR"/>
        </w:rPr>
        <w:t>trabajadores en relación de dependencia con destino al SIPA y al INSSJP</w:t>
      </w:r>
      <w:r>
        <w:rPr>
          <w:lang w:val="es-AR"/>
        </w:rPr>
        <w:t xml:space="preserve">. </w:t>
      </w:r>
    </w:p>
    <w:p w:rsidR="009B088B" w:rsidRDefault="00362E15" w:rsidP="00362E15">
      <w:pPr>
        <w:pStyle w:val="Textoindependiente"/>
        <w:widowControl w:val="0"/>
        <w:numPr>
          <w:ilvl w:val="0"/>
          <w:numId w:val="36"/>
        </w:numPr>
        <w:tabs>
          <w:tab w:val="clear" w:pos="720"/>
          <w:tab w:val="num" w:pos="1560"/>
        </w:tabs>
        <w:ind w:left="1560" w:right="23" w:hanging="426"/>
        <w:rPr>
          <w:lang w:val="es-AR"/>
        </w:rPr>
      </w:pPr>
      <w:r>
        <w:rPr>
          <w:lang w:val="es-AR"/>
        </w:rPr>
        <w:t>R</w:t>
      </w:r>
      <w:r w:rsidR="009B088B">
        <w:rPr>
          <w:lang w:val="es-AR"/>
        </w:rPr>
        <w:t>etenciones  y percepciones impositivas.</w:t>
      </w:r>
    </w:p>
    <w:p w:rsidR="00362E15" w:rsidRDefault="00362E15" w:rsidP="00362E15">
      <w:pPr>
        <w:pStyle w:val="Textoindependiente"/>
        <w:widowControl w:val="0"/>
        <w:ind w:left="1560" w:right="23"/>
        <w:rPr>
          <w:lang w:val="es-AR"/>
        </w:rPr>
      </w:pPr>
    </w:p>
    <w:p w:rsidR="00362E15" w:rsidRDefault="009B088B" w:rsidP="00362E15">
      <w:pPr>
        <w:pStyle w:val="Textoindependiente"/>
        <w:widowControl w:val="0"/>
        <w:numPr>
          <w:ilvl w:val="0"/>
          <w:numId w:val="37"/>
        </w:numPr>
        <w:tabs>
          <w:tab w:val="left" w:pos="9356"/>
        </w:tabs>
        <w:ind w:right="23"/>
        <w:rPr>
          <w:lang w:val="es-AR"/>
        </w:rPr>
      </w:pPr>
      <w:r w:rsidRPr="00362E15">
        <w:rPr>
          <w:u w:val="single"/>
          <w:lang w:val="es-AR"/>
        </w:rPr>
        <w:t>Obligaciones mensua</w:t>
      </w:r>
      <w:r w:rsidR="00362E15" w:rsidRPr="00362E15">
        <w:rPr>
          <w:u w:val="single"/>
          <w:lang w:val="es-AR"/>
        </w:rPr>
        <w:t>l</w:t>
      </w:r>
      <w:r w:rsidRPr="00362E15">
        <w:rPr>
          <w:u w:val="single"/>
          <w:lang w:val="es-AR"/>
        </w:rPr>
        <w:t>es y otras</w:t>
      </w:r>
      <w:r w:rsidRPr="00362E15">
        <w:rPr>
          <w:lang w:val="es-AR"/>
        </w:rPr>
        <w:t xml:space="preserve">: </w:t>
      </w:r>
      <w:r w:rsidR="00362E15">
        <w:rPr>
          <w:lang w:val="es-AR"/>
        </w:rPr>
        <w:t xml:space="preserve">Se podrán incluir deudas correspondientes a las demás obligaciones de origen impositivo y/o previsional, excluidas las mencionadas en el inciso a).  </w:t>
      </w:r>
      <w:r w:rsidR="00F75327">
        <w:rPr>
          <w:lang w:val="es-AR"/>
        </w:rPr>
        <w:t>También</w:t>
      </w:r>
      <w:r w:rsidR="00362E15">
        <w:rPr>
          <w:lang w:val="es-AR"/>
        </w:rPr>
        <w:t xml:space="preserve"> quedan comprendidos en este inciso:</w:t>
      </w:r>
    </w:p>
    <w:p w:rsidR="00362E15" w:rsidRDefault="00362E15" w:rsidP="00362E15">
      <w:pPr>
        <w:pStyle w:val="Textoindependiente"/>
        <w:widowControl w:val="0"/>
        <w:numPr>
          <w:ilvl w:val="0"/>
          <w:numId w:val="42"/>
        </w:numPr>
        <w:tabs>
          <w:tab w:val="left" w:pos="9356"/>
        </w:tabs>
        <w:ind w:left="1560" w:right="23" w:hanging="426"/>
        <w:rPr>
          <w:lang w:val="es-AR"/>
        </w:rPr>
      </w:pPr>
      <w:r>
        <w:rPr>
          <w:lang w:val="es-AR"/>
        </w:rPr>
        <w:t>Los a</w:t>
      </w:r>
      <w:r w:rsidR="009B088B" w:rsidRPr="00362E15">
        <w:rPr>
          <w:lang w:val="es-AR"/>
        </w:rPr>
        <w:t xml:space="preserve">portes de </w:t>
      </w:r>
      <w:r>
        <w:rPr>
          <w:lang w:val="es-AR"/>
        </w:rPr>
        <w:t xml:space="preserve">los </w:t>
      </w:r>
      <w:r w:rsidR="009B088B" w:rsidRPr="00362E15">
        <w:rPr>
          <w:lang w:val="es-AR"/>
        </w:rPr>
        <w:t>trabajadores autónomos</w:t>
      </w:r>
      <w:r>
        <w:rPr>
          <w:lang w:val="es-AR"/>
        </w:rPr>
        <w:t>.</w:t>
      </w:r>
      <w:r w:rsidR="009B088B" w:rsidRPr="00362E15">
        <w:rPr>
          <w:lang w:val="es-AR"/>
        </w:rPr>
        <w:t xml:space="preserve"> </w:t>
      </w:r>
    </w:p>
    <w:p w:rsidR="00362E15" w:rsidRDefault="00362E15" w:rsidP="00362E15">
      <w:pPr>
        <w:pStyle w:val="Textoindependiente"/>
        <w:widowControl w:val="0"/>
        <w:numPr>
          <w:ilvl w:val="0"/>
          <w:numId w:val="42"/>
        </w:numPr>
        <w:tabs>
          <w:tab w:val="left" w:pos="9356"/>
        </w:tabs>
        <w:ind w:left="1560" w:right="23" w:hanging="426"/>
        <w:rPr>
          <w:lang w:val="es-AR"/>
        </w:rPr>
      </w:pPr>
      <w:r>
        <w:rPr>
          <w:lang w:val="es-AR"/>
        </w:rPr>
        <w:t>E</w:t>
      </w:r>
      <w:r w:rsidR="009B088B" w:rsidRPr="00362E15">
        <w:rPr>
          <w:lang w:val="es-AR"/>
        </w:rPr>
        <w:t xml:space="preserve">l impuesto integrado y </w:t>
      </w:r>
      <w:r>
        <w:rPr>
          <w:lang w:val="es-AR"/>
        </w:rPr>
        <w:t xml:space="preserve">las cotizaciones </w:t>
      </w:r>
      <w:r w:rsidR="009B088B" w:rsidRPr="00362E15">
        <w:rPr>
          <w:lang w:val="es-AR"/>
        </w:rPr>
        <w:t>previsional</w:t>
      </w:r>
      <w:r>
        <w:rPr>
          <w:lang w:val="es-AR"/>
        </w:rPr>
        <w:t xml:space="preserve">es fijas correspondiente a los sujetos adheridos al </w:t>
      </w:r>
      <w:proofErr w:type="spellStart"/>
      <w:r>
        <w:rPr>
          <w:lang w:val="es-AR"/>
        </w:rPr>
        <w:t>Monotributo</w:t>
      </w:r>
      <w:proofErr w:type="spellEnd"/>
      <w:r>
        <w:rPr>
          <w:lang w:val="es-AR"/>
        </w:rPr>
        <w:t xml:space="preserve">. </w:t>
      </w:r>
    </w:p>
    <w:p w:rsidR="00362E15" w:rsidRDefault="00362E15" w:rsidP="00362E15">
      <w:pPr>
        <w:pStyle w:val="Textoindependiente"/>
        <w:widowControl w:val="0"/>
        <w:numPr>
          <w:ilvl w:val="0"/>
          <w:numId w:val="42"/>
        </w:numPr>
        <w:tabs>
          <w:tab w:val="left" w:pos="9356"/>
        </w:tabs>
        <w:ind w:left="1560" w:right="23" w:hanging="426"/>
        <w:rPr>
          <w:lang w:val="es-AR"/>
        </w:rPr>
      </w:pPr>
      <w:r>
        <w:rPr>
          <w:lang w:val="es-AR"/>
        </w:rPr>
        <w:t>L</w:t>
      </w:r>
      <w:r w:rsidR="009B088B" w:rsidRPr="00362E15">
        <w:rPr>
          <w:lang w:val="es-AR"/>
        </w:rPr>
        <w:t xml:space="preserve">as contribuciones </w:t>
      </w:r>
      <w:r>
        <w:rPr>
          <w:lang w:val="es-AR"/>
        </w:rPr>
        <w:t xml:space="preserve">con destino al </w:t>
      </w:r>
      <w:r w:rsidR="00F75327">
        <w:rPr>
          <w:lang w:val="es-AR"/>
        </w:rPr>
        <w:t>Régimen</w:t>
      </w:r>
      <w:r>
        <w:rPr>
          <w:lang w:val="es-AR"/>
        </w:rPr>
        <w:t xml:space="preserve"> de la S</w:t>
      </w:r>
      <w:r w:rsidR="009B088B" w:rsidRPr="00362E15">
        <w:rPr>
          <w:lang w:val="es-AR"/>
        </w:rPr>
        <w:t xml:space="preserve">eguridad </w:t>
      </w:r>
      <w:r>
        <w:rPr>
          <w:lang w:val="es-AR"/>
        </w:rPr>
        <w:t>So</w:t>
      </w:r>
      <w:r w:rsidR="009B088B" w:rsidRPr="00362E15">
        <w:rPr>
          <w:lang w:val="es-AR"/>
        </w:rPr>
        <w:t>cial</w:t>
      </w:r>
      <w:r>
        <w:rPr>
          <w:lang w:val="es-AR"/>
        </w:rPr>
        <w:t>.</w:t>
      </w:r>
    </w:p>
    <w:p w:rsidR="00362E15" w:rsidRDefault="00362E15" w:rsidP="00362E15">
      <w:pPr>
        <w:pStyle w:val="Textoindependiente"/>
        <w:widowControl w:val="0"/>
        <w:tabs>
          <w:tab w:val="left" w:pos="9356"/>
        </w:tabs>
        <w:ind w:left="1560" w:right="23"/>
        <w:rPr>
          <w:lang w:val="es-AR"/>
        </w:rPr>
      </w:pPr>
    </w:p>
    <w:p w:rsidR="009B088B" w:rsidRPr="00362E15" w:rsidRDefault="009B088B" w:rsidP="00362E15">
      <w:pPr>
        <w:pStyle w:val="Textoindependiente"/>
        <w:widowControl w:val="0"/>
        <w:numPr>
          <w:ilvl w:val="0"/>
          <w:numId w:val="37"/>
        </w:numPr>
        <w:tabs>
          <w:tab w:val="left" w:pos="9356"/>
        </w:tabs>
        <w:ind w:right="23"/>
        <w:rPr>
          <w:lang w:val="es-AR"/>
        </w:rPr>
      </w:pPr>
      <w:r w:rsidRPr="00362E15">
        <w:rPr>
          <w:u w:val="single"/>
          <w:lang w:val="es-AR"/>
        </w:rPr>
        <w:t xml:space="preserve">Reformulaciones de planes vigentes </w:t>
      </w:r>
      <w:r w:rsidR="00362E15" w:rsidRPr="00362E15">
        <w:rPr>
          <w:u w:val="single"/>
          <w:lang w:val="es-AR"/>
        </w:rPr>
        <w:t>de las</w:t>
      </w:r>
      <w:r w:rsidR="00D6552A" w:rsidRPr="00362E15">
        <w:rPr>
          <w:u w:val="single"/>
          <w:lang w:val="es-AR"/>
        </w:rPr>
        <w:t xml:space="preserve"> RG 3827 y </w:t>
      </w:r>
      <w:r w:rsidR="00362E15" w:rsidRPr="00362E15">
        <w:rPr>
          <w:u w:val="single"/>
          <w:lang w:val="es-AR"/>
        </w:rPr>
        <w:t>RG 4099</w:t>
      </w:r>
      <w:r w:rsidR="00362E15">
        <w:rPr>
          <w:lang w:val="es-AR"/>
        </w:rPr>
        <w:t>: reformulación de planes de facilidades de pago vigentes al 30 de junio de 201, presentados conforme a las resoluciones mencionadas.</w:t>
      </w:r>
    </w:p>
    <w:p w:rsidR="00D6552A" w:rsidRPr="009B088B" w:rsidRDefault="00D6552A" w:rsidP="00D6552A">
      <w:pPr>
        <w:pStyle w:val="Textoindependiente"/>
        <w:widowControl w:val="0"/>
        <w:tabs>
          <w:tab w:val="left" w:pos="9356"/>
        </w:tabs>
        <w:ind w:right="23"/>
        <w:rPr>
          <w:lang w:val="es-AR"/>
        </w:rPr>
      </w:pPr>
    </w:p>
    <w:p w:rsidR="00D3742B" w:rsidRDefault="00362E15" w:rsidP="00362E15">
      <w:pPr>
        <w:pStyle w:val="Textoindependiente"/>
        <w:widowControl w:val="0"/>
        <w:tabs>
          <w:tab w:val="left" w:pos="709"/>
        </w:tabs>
        <w:ind w:right="23"/>
        <w:rPr>
          <w:b/>
          <w:u w:val="single"/>
          <w:lang w:val="es-AR"/>
        </w:rPr>
      </w:pPr>
      <w:r>
        <w:rPr>
          <w:b/>
          <w:u w:val="single"/>
          <w:lang w:val="es-AR"/>
        </w:rPr>
        <w:t xml:space="preserve">Conceptos </w:t>
      </w:r>
      <w:r w:rsidR="00D3742B">
        <w:rPr>
          <w:b/>
          <w:u w:val="single"/>
          <w:lang w:val="es-AR"/>
        </w:rPr>
        <w:t>Exclusiones</w:t>
      </w:r>
    </w:p>
    <w:p w:rsidR="00D3742B" w:rsidRDefault="00D3742B" w:rsidP="00D3742B">
      <w:pPr>
        <w:pStyle w:val="Textoindependiente"/>
        <w:widowControl w:val="0"/>
        <w:tabs>
          <w:tab w:val="left" w:pos="9356"/>
        </w:tabs>
        <w:ind w:left="360" w:right="23"/>
        <w:rPr>
          <w:lang w:val="es-AR"/>
        </w:rPr>
      </w:pPr>
    </w:p>
    <w:p w:rsidR="00D3742B" w:rsidRDefault="00D3742B" w:rsidP="00B14909">
      <w:pPr>
        <w:pStyle w:val="Textoindependiente"/>
        <w:widowControl w:val="0"/>
        <w:tabs>
          <w:tab w:val="left" w:pos="9356"/>
        </w:tabs>
        <w:ind w:right="23"/>
        <w:rPr>
          <w:lang w:val="es-AR"/>
        </w:rPr>
      </w:pPr>
      <w:r>
        <w:rPr>
          <w:lang w:val="es-AR"/>
        </w:rPr>
        <w:t>Quedan</w:t>
      </w:r>
      <w:r w:rsidR="00B14909">
        <w:rPr>
          <w:lang w:val="es-AR"/>
        </w:rPr>
        <w:t xml:space="preserve"> excluidos del presente régimen los siguientes conceptos: </w:t>
      </w:r>
    </w:p>
    <w:p w:rsidR="00D3742B" w:rsidRDefault="00D3742B" w:rsidP="00B14909">
      <w:pPr>
        <w:pStyle w:val="Textoindependiente"/>
        <w:widowControl w:val="0"/>
        <w:tabs>
          <w:tab w:val="left" w:pos="9356"/>
        </w:tabs>
        <w:ind w:right="23"/>
        <w:rPr>
          <w:lang w:val="es-AR"/>
        </w:rPr>
      </w:pP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a) </w:t>
      </w:r>
      <w:r>
        <w:rPr>
          <w:szCs w:val="20"/>
          <w:lang w:val="es-AR"/>
        </w:rPr>
        <w:t xml:space="preserve"> </w:t>
      </w:r>
      <w:r w:rsidRPr="004A0634">
        <w:rPr>
          <w:szCs w:val="20"/>
          <w:lang w:val="es-AR"/>
        </w:rPr>
        <w:t>Los anticipos y/o pagos a cuenta.</w:t>
      </w:r>
    </w:p>
    <w:p w:rsidR="004A0634" w:rsidRPr="004A0634" w:rsidRDefault="004A0634" w:rsidP="004A0634">
      <w:pPr>
        <w:pStyle w:val="errepar1erfrancesnovedades"/>
        <w:spacing w:before="80" w:beforeAutospacing="0" w:after="0" w:afterAutospacing="0"/>
        <w:ind w:left="301" w:right="117"/>
        <w:jc w:val="both"/>
        <w:rPr>
          <w:szCs w:val="20"/>
          <w:lang w:val="es-AR"/>
        </w:rPr>
      </w:pPr>
      <w:r>
        <w:rPr>
          <w:szCs w:val="20"/>
          <w:lang w:val="es-AR"/>
        </w:rPr>
        <w:t xml:space="preserve">b) </w:t>
      </w:r>
      <w:r w:rsidRPr="004A0634">
        <w:rPr>
          <w:szCs w:val="20"/>
          <w:lang w:val="es-AR"/>
        </w:rPr>
        <w:t>Los intereses de las deudas de capital que no estén incluidas en el presente régimen.</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c) El impuesto al valor agregado que se debe ingresar por:</w:t>
      </w:r>
    </w:p>
    <w:p w:rsidR="004A0634" w:rsidRDefault="004A0634" w:rsidP="004A0634">
      <w:pPr>
        <w:pStyle w:val="errepar2dofrancesnovedades"/>
        <w:spacing w:before="80" w:beforeAutospacing="0" w:after="0" w:afterAutospacing="0"/>
        <w:ind w:left="603" w:right="117"/>
        <w:jc w:val="both"/>
        <w:rPr>
          <w:szCs w:val="20"/>
          <w:lang w:val="es-AR"/>
        </w:rPr>
      </w:pPr>
      <w:r w:rsidRPr="004A0634">
        <w:rPr>
          <w:szCs w:val="20"/>
          <w:lang w:val="es-AR"/>
        </w:rPr>
        <w:t>1. Prestaciones de servicios realizadas en el exterior, cuya utilización o explotación efectiva se lleva a cabo en el país</w:t>
      </w:r>
      <w:r>
        <w:rPr>
          <w:szCs w:val="20"/>
          <w:lang w:val="es-AR"/>
        </w:rPr>
        <w:t>.</w:t>
      </w:r>
      <w:r w:rsidRPr="004A0634">
        <w:rPr>
          <w:szCs w:val="20"/>
          <w:lang w:val="es-AR"/>
        </w:rPr>
        <w:t xml:space="preserve"> </w:t>
      </w:r>
    </w:p>
    <w:p w:rsidR="004A0634" w:rsidRPr="004A0634" w:rsidRDefault="004A0634" w:rsidP="004A0634">
      <w:pPr>
        <w:pStyle w:val="errepar2dofrancesnovedades"/>
        <w:spacing w:before="80" w:beforeAutospacing="0" w:after="0" w:afterAutospacing="0"/>
        <w:ind w:left="603" w:right="117"/>
        <w:jc w:val="both"/>
        <w:rPr>
          <w:szCs w:val="20"/>
          <w:lang w:val="es-AR"/>
        </w:rPr>
      </w:pPr>
      <w:r>
        <w:rPr>
          <w:szCs w:val="20"/>
          <w:lang w:val="es-AR"/>
        </w:rPr>
        <w:t xml:space="preserve">2.  </w:t>
      </w:r>
      <w:r w:rsidRPr="004A0634">
        <w:rPr>
          <w:szCs w:val="20"/>
          <w:lang w:val="es-AR"/>
        </w:rPr>
        <w:t>Prestaciones de servicios digitales</w:t>
      </w:r>
      <w:r>
        <w:rPr>
          <w:szCs w:val="20"/>
          <w:lang w:val="es-AR"/>
        </w:rPr>
        <w:t xml:space="preserve">. </w:t>
      </w:r>
      <w:r w:rsidRPr="004A0634">
        <w:rPr>
          <w:szCs w:val="20"/>
          <w:lang w:val="es-AR"/>
        </w:rPr>
        <w:t xml:space="preserve"> </w:t>
      </w:r>
    </w:p>
    <w:p w:rsidR="004A0634" w:rsidRPr="004A0634" w:rsidRDefault="004A0634" w:rsidP="004A0634">
      <w:pPr>
        <w:pStyle w:val="errepar2dofrancesnovedades"/>
        <w:spacing w:before="80" w:beforeAutospacing="0" w:after="0" w:afterAutospacing="0"/>
        <w:ind w:left="603" w:right="117"/>
        <w:jc w:val="both"/>
        <w:rPr>
          <w:szCs w:val="20"/>
          <w:lang w:val="es-AR"/>
        </w:rPr>
      </w:pPr>
      <w:r w:rsidRPr="004A0634">
        <w:rPr>
          <w:szCs w:val="20"/>
          <w:lang w:val="es-AR"/>
        </w:rPr>
        <w:t>3. Prestaciones de servicios realizadas en el país por sujetos radicados en el exterior, incluso cuando el solicitante se trate de responsable sustituto</w:t>
      </w:r>
      <w:r>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d) Los aportes y contribuciones destinados al Régimen Nacional de Obras Sociales, excepto los correspondientes a los sujetos adheridos al</w:t>
      </w:r>
      <w:r>
        <w:rPr>
          <w:szCs w:val="20"/>
          <w:lang w:val="es-AR"/>
        </w:rPr>
        <w:t xml:space="preserve"> </w:t>
      </w:r>
      <w:proofErr w:type="spellStart"/>
      <w:r>
        <w:rPr>
          <w:szCs w:val="20"/>
          <w:lang w:val="es-AR"/>
        </w:rPr>
        <w:t>Monotributo</w:t>
      </w:r>
      <w:proofErr w:type="spellEnd"/>
      <w:r w:rsidRPr="004A0634">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e) Los aportes y contribuciones con destino al régimen especial de seguridad social para empleados del servicio doméstico y trabajadores de casas particulares.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f) Las contribuciones y/o aportes con destino al Registro Nacional de Trabajadores Rurales y Empleadores (RENATRE) o al Registro Nacional de Trabajadores y Empleadores Agrarios (RENATEA), según corresponda.</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g) Las cuotas destinadas a las Aseguradoras de Riesgos del Trabajo (ART).</w:t>
      </w:r>
    </w:p>
    <w:p w:rsid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h) El impuesto adicional de emergencia sobre el precio final de venta de cigarrillos, sus intereses -resarcitorios y punitorios-, multas y demás accesorios</w:t>
      </w:r>
      <w:r>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Pr>
          <w:szCs w:val="20"/>
          <w:lang w:val="es-AR"/>
        </w:rPr>
        <w:t xml:space="preserve">i) </w:t>
      </w:r>
      <w:r w:rsidRPr="004A0634">
        <w:rPr>
          <w:szCs w:val="20"/>
          <w:lang w:val="es-AR"/>
        </w:rPr>
        <w:t>Las cuotas de planes de facilidades de pago vigentes.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j) Las obligaciones que figuren ingresadas en planes de facilidades de </w:t>
      </w:r>
      <w:proofErr w:type="gramStart"/>
      <w:r w:rsidRPr="004A0634">
        <w:rPr>
          <w:szCs w:val="20"/>
          <w:lang w:val="es-AR"/>
        </w:rPr>
        <w:t xml:space="preserve">pago vigentes o </w:t>
      </w:r>
      <w:proofErr w:type="spellStart"/>
      <w:r w:rsidRPr="004A0634">
        <w:rPr>
          <w:szCs w:val="20"/>
          <w:lang w:val="es-AR"/>
        </w:rPr>
        <w:t>precaducos</w:t>
      </w:r>
      <w:proofErr w:type="spellEnd"/>
      <w:proofErr w:type="gramEnd"/>
      <w:r w:rsidRPr="004A0634">
        <w:rPr>
          <w:szCs w:val="20"/>
          <w:lang w:val="es-AR"/>
        </w:rPr>
        <w:t>, excepto las incluidas en reformulacione</w:t>
      </w:r>
      <w:r>
        <w:rPr>
          <w:szCs w:val="20"/>
          <w:lang w:val="es-AR"/>
        </w:rPr>
        <w:t>s efectuadas conforme a las RG 3827 y 4099</w:t>
      </w:r>
      <w:r w:rsidRPr="004A0634">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k) Los impuestos sobre los combustibles líquidos, el gas natural y al dióxido de carbono, el impuesto sobre el gas </w:t>
      </w:r>
      <w:proofErr w:type="spellStart"/>
      <w:r w:rsidRPr="004A0634">
        <w:rPr>
          <w:szCs w:val="20"/>
          <w:lang w:val="es-AR"/>
        </w:rPr>
        <w:t>oil</w:t>
      </w:r>
      <w:proofErr w:type="spellEnd"/>
      <w:r w:rsidRPr="004A0634">
        <w:rPr>
          <w:szCs w:val="20"/>
          <w:lang w:val="es-AR"/>
        </w:rPr>
        <w:t xml:space="preserve"> y el gas licuado, y el Fondo Hídrico de Infraestructura</w:t>
      </w:r>
      <w:r>
        <w:rPr>
          <w:szCs w:val="20"/>
          <w:lang w:val="es-AR"/>
        </w:rPr>
        <w:t>.</w:t>
      </w:r>
      <w:r w:rsidRPr="004A0634">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l) Las obligaciones correspondientes a los impuestos a las ganancias y sobre los bienes personales -</w:t>
      </w:r>
      <w:r w:rsidRPr="00233DE8">
        <w:rPr>
          <w:szCs w:val="20"/>
          <w:lang w:val="es-AR"/>
        </w:rPr>
        <w:t xml:space="preserve">excepto </w:t>
      </w:r>
      <w:r w:rsidR="00233DE8" w:rsidRPr="00233DE8">
        <w:rPr>
          <w:szCs w:val="20"/>
          <w:lang w:val="es-AR"/>
        </w:rPr>
        <w:t>las empresas que revisten el carácter de responsables sustitutos del ingreso del impuesto</w:t>
      </w:r>
      <w:r w:rsidR="00233DE8">
        <w:rPr>
          <w:szCs w:val="20"/>
          <w:lang w:val="es-AR"/>
        </w:rPr>
        <w:t xml:space="preserve"> de sus titulares</w:t>
      </w:r>
      <w:r w:rsidRPr="004A0634">
        <w:rPr>
          <w:szCs w:val="20"/>
          <w:lang w:val="es-AR"/>
        </w:rPr>
        <w:t>-, cuyo vencimiento hubiera operado en el mismo año calendario de la presentación del plan de facilidades.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m) Las obligaciones vinculadas con regímenes promocionales que concedan beneficios tributarios (cuotas de amortización correspondientes a diferimientos).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n) El impuesto específico sobre la realización de apuestas.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ñ) Deudas de origen aduanero.</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o) Las obligaciones susceptibles de acogimiento en el Plan de Facilidades Permanente implementado por la </w:t>
      </w:r>
      <w:hyperlink r:id="rId8" w:tgtFrame="_blank" w:history="1">
        <w:r w:rsidRPr="004A0634">
          <w:rPr>
            <w:szCs w:val="20"/>
            <w:lang w:val="es-AR"/>
          </w:rPr>
          <w:t>resolución general 4166</w:t>
        </w:r>
      </w:hyperlink>
      <w:r w:rsidRPr="004A0634">
        <w:rPr>
          <w:szCs w:val="20"/>
          <w:lang w:val="es-AR"/>
        </w:rPr>
        <w:t>, para la regularización de deudas generadas en la exclusión del Régimen Simplificado para Pequeños Contribuyentes (RS), aún los provenientes de ajustes de fiscalización.</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p) Las retenciones y percepciones con destino al Régimen de la Seguridad Social.</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lastRenderedPageBreak/>
        <w:t>q) Los intereses y demás accesorios relacionados con los conceptos precedentes.</w:t>
      </w:r>
    </w:p>
    <w:p w:rsidR="004A0634" w:rsidRDefault="004A0634" w:rsidP="00B14909">
      <w:pPr>
        <w:pStyle w:val="Textoindependiente"/>
        <w:widowControl w:val="0"/>
        <w:tabs>
          <w:tab w:val="left" w:pos="9356"/>
        </w:tabs>
        <w:ind w:right="23"/>
        <w:rPr>
          <w:lang w:val="es-AR"/>
        </w:rPr>
      </w:pPr>
    </w:p>
    <w:p w:rsidR="00233DE8" w:rsidRDefault="00233DE8" w:rsidP="00B14909">
      <w:pPr>
        <w:pStyle w:val="Textoindependiente"/>
        <w:widowControl w:val="0"/>
        <w:tabs>
          <w:tab w:val="left" w:pos="9356"/>
        </w:tabs>
        <w:ind w:right="23"/>
        <w:rPr>
          <w:lang w:val="es-AR"/>
        </w:rPr>
      </w:pPr>
    </w:p>
    <w:p w:rsidR="004A0634" w:rsidRDefault="004A0634" w:rsidP="00B14909">
      <w:pPr>
        <w:pStyle w:val="Textoindependiente"/>
        <w:widowControl w:val="0"/>
        <w:tabs>
          <w:tab w:val="left" w:pos="9356"/>
        </w:tabs>
        <w:ind w:right="23"/>
        <w:rPr>
          <w:lang w:val="es-AR"/>
        </w:rPr>
      </w:pPr>
    </w:p>
    <w:p w:rsidR="00756AD4" w:rsidRPr="00756AD4" w:rsidRDefault="00756AD4" w:rsidP="00756AD4">
      <w:pPr>
        <w:pStyle w:val="Textoindependiente"/>
        <w:widowControl w:val="0"/>
        <w:tabs>
          <w:tab w:val="left" w:pos="9356"/>
        </w:tabs>
        <w:ind w:right="23"/>
        <w:rPr>
          <w:b/>
          <w:u w:val="single"/>
          <w:lang w:val="es-AR"/>
        </w:rPr>
      </w:pPr>
      <w:r w:rsidRPr="00756AD4">
        <w:rPr>
          <w:b/>
          <w:u w:val="single"/>
          <w:lang w:val="es-AR"/>
        </w:rPr>
        <w:t>Características del plan</w:t>
      </w:r>
      <w:r w:rsidR="00143788">
        <w:rPr>
          <w:b/>
          <w:u w:val="single"/>
          <w:lang w:val="es-AR"/>
        </w:rPr>
        <w:t xml:space="preserve"> de facilidades</w:t>
      </w:r>
    </w:p>
    <w:p w:rsidR="00756AD4" w:rsidRDefault="00756AD4" w:rsidP="00756AD4">
      <w:pPr>
        <w:pStyle w:val="Textoindependiente"/>
        <w:widowControl w:val="0"/>
        <w:tabs>
          <w:tab w:val="left" w:pos="9356"/>
        </w:tabs>
        <w:ind w:right="23"/>
        <w:rPr>
          <w:i/>
          <w:lang w:val="es-AR"/>
        </w:rPr>
      </w:pPr>
    </w:p>
    <w:p w:rsidR="00143788" w:rsidRDefault="00143788" w:rsidP="00756AD4">
      <w:pPr>
        <w:pStyle w:val="Textoindependiente"/>
        <w:widowControl w:val="0"/>
        <w:tabs>
          <w:tab w:val="left" w:pos="9356"/>
        </w:tabs>
        <w:ind w:right="23"/>
        <w:rPr>
          <w:lang w:val="es-AR"/>
        </w:rPr>
      </w:pPr>
      <w:r w:rsidRPr="00143788">
        <w:rPr>
          <w:lang w:val="es-AR"/>
        </w:rPr>
        <w:t>Los</w:t>
      </w:r>
      <w:r>
        <w:rPr>
          <w:lang w:val="es-AR"/>
        </w:rPr>
        <w:t xml:space="preserve"> planes de facilidades de pago deberán reunir las siguientes condiciones:</w:t>
      </w:r>
    </w:p>
    <w:p w:rsidR="00143788" w:rsidRPr="00143788" w:rsidRDefault="00143788" w:rsidP="00756AD4">
      <w:pPr>
        <w:pStyle w:val="Textoindependiente"/>
        <w:widowControl w:val="0"/>
        <w:tabs>
          <w:tab w:val="left" w:pos="9356"/>
        </w:tabs>
        <w:ind w:right="23"/>
        <w:rPr>
          <w:lang w:val="es-AR"/>
        </w:rPr>
      </w:pPr>
    </w:p>
    <w:p w:rsidR="00756AD4" w:rsidRDefault="00756AD4" w:rsidP="00143788">
      <w:pPr>
        <w:pStyle w:val="Textoindependiente"/>
        <w:widowControl w:val="0"/>
        <w:numPr>
          <w:ilvl w:val="0"/>
          <w:numId w:val="14"/>
        </w:numPr>
        <w:tabs>
          <w:tab w:val="left" w:pos="9356"/>
        </w:tabs>
        <w:ind w:left="426" w:right="23"/>
        <w:rPr>
          <w:lang w:val="es-AR"/>
        </w:rPr>
      </w:pPr>
      <w:r>
        <w:rPr>
          <w:lang w:val="es-AR"/>
        </w:rPr>
        <w:t>Tendrán un pago a cuenta calculado en base a la conducta fiscal registrada en el “Sistema de Perfil De Riesgo (SIPER)”</w:t>
      </w:r>
    </w:p>
    <w:p w:rsidR="00143788" w:rsidRPr="00143788" w:rsidRDefault="00143788" w:rsidP="00143788">
      <w:pPr>
        <w:pStyle w:val="errepar2dofrancesnovedades"/>
        <w:spacing w:before="80" w:beforeAutospacing="0" w:after="0" w:afterAutospacing="0"/>
        <w:ind w:left="851" w:right="117"/>
        <w:jc w:val="both"/>
        <w:rPr>
          <w:szCs w:val="20"/>
          <w:lang w:val="es-AR"/>
        </w:rPr>
      </w:pPr>
      <w:r w:rsidRPr="00143788">
        <w:rPr>
          <w:szCs w:val="20"/>
          <w:lang w:val="es-AR"/>
        </w:rPr>
        <w:t>1. 5</w:t>
      </w:r>
      <w:r>
        <w:rPr>
          <w:szCs w:val="20"/>
          <w:lang w:val="es-AR"/>
        </w:rPr>
        <w:t>,00</w:t>
      </w:r>
      <w:r w:rsidRPr="00143788">
        <w:rPr>
          <w:szCs w:val="20"/>
          <w:lang w:val="es-AR"/>
        </w:rPr>
        <w:t>% de la deuda consolidada, cuando se trate de sujetos que encuentren en las categorías “A”, “B” o “C”, el cual no podrá ser inferior $ 1.000, excluido -de haber sido declarado- el importe correspondiente a la cancelación de intereses punitorios.</w:t>
      </w:r>
    </w:p>
    <w:p w:rsidR="00143788" w:rsidRPr="00143788" w:rsidRDefault="00143788" w:rsidP="00143788">
      <w:pPr>
        <w:pStyle w:val="errepar2dofrancesnovedades"/>
        <w:spacing w:before="80" w:beforeAutospacing="0" w:after="0" w:afterAutospacing="0"/>
        <w:ind w:left="851" w:right="117"/>
        <w:jc w:val="both"/>
        <w:rPr>
          <w:szCs w:val="20"/>
          <w:lang w:val="es-AR"/>
        </w:rPr>
      </w:pPr>
      <w:r w:rsidRPr="00143788">
        <w:rPr>
          <w:szCs w:val="20"/>
          <w:lang w:val="es-AR"/>
        </w:rPr>
        <w:t>2. 10</w:t>
      </w:r>
      <w:r>
        <w:rPr>
          <w:szCs w:val="20"/>
          <w:lang w:val="es-AR"/>
        </w:rPr>
        <w:t>,00</w:t>
      </w:r>
      <w:r w:rsidRPr="00143788">
        <w:rPr>
          <w:szCs w:val="20"/>
          <w:lang w:val="es-AR"/>
        </w:rPr>
        <w:t>% de la deuda consolidada, de tratarse de sujetos con categoría “D”, “E” y aquellos que no se encuentren categorizados en el citado sistema, el cual no podrá ser inferior a $ 1.000, excluido -de haber sido declarado- el importe correspondiente a la cancelación de intereses punitorios.</w:t>
      </w:r>
    </w:p>
    <w:p w:rsidR="00143788" w:rsidRPr="00143788" w:rsidRDefault="00143788" w:rsidP="00143788">
      <w:pPr>
        <w:pStyle w:val="errepar1erfrancesnovedades"/>
        <w:spacing w:before="80" w:beforeAutospacing="0" w:after="0" w:afterAutospacing="0"/>
        <w:ind w:left="426" w:right="117"/>
        <w:jc w:val="both"/>
        <w:rPr>
          <w:szCs w:val="20"/>
          <w:lang w:val="es-AR"/>
        </w:rPr>
      </w:pPr>
      <w:r>
        <w:rPr>
          <w:szCs w:val="20"/>
          <w:lang w:val="es-AR"/>
        </w:rPr>
        <w:t>Para ambos casos, a</w:t>
      </w:r>
      <w:r w:rsidRPr="00143788">
        <w:rPr>
          <w:szCs w:val="20"/>
          <w:lang w:val="es-AR"/>
        </w:rPr>
        <w:t>l pago a cuenta se le adicionará, en su caso, el importe total de los intereses punitorios correspondientes a las obligaciones que se regularicen en el plan.</w:t>
      </w:r>
    </w:p>
    <w:p w:rsidR="00143788" w:rsidRDefault="00143788" w:rsidP="00143788">
      <w:pPr>
        <w:pStyle w:val="Textoindependiente"/>
        <w:widowControl w:val="0"/>
        <w:numPr>
          <w:ilvl w:val="0"/>
          <w:numId w:val="14"/>
        </w:numPr>
        <w:tabs>
          <w:tab w:val="left" w:pos="9356"/>
        </w:tabs>
        <w:ind w:left="426" w:right="23"/>
        <w:rPr>
          <w:lang w:val="es-AR"/>
        </w:rPr>
      </w:pPr>
      <w:r>
        <w:rPr>
          <w:lang w:val="es-AR"/>
        </w:rPr>
        <w:t>Las cuotas serán mensuales, iguales y consecutivas.</w:t>
      </w:r>
    </w:p>
    <w:p w:rsidR="00143788" w:rsidRDefault="00143788" w:rsidP="00143788">
      <w:pPr>
        <w:pStyle w:val="Textoindependiente"/>
        <w:widowControl w:val="0"/>
        <w:numPr>
          <w:ilvl w:val="0"/>
          <w:numId w:val="14"/>
        </w:numPr>
        <w:tabs>
          <w:tab w:val="left" w:pos="9356"/>
        </w:tabs>
        <w:ind w:left="426" w:right="23"/>
        <w:rPr>
          <w:lang w:val="es-AR"/>
        </w:rPr>
      </w:pPr>
      <w:r w:rsidRPr="00143788">
        <w:rPr>
          <w:lang w:val="es-AR"/>
        </w:rPr>
        <w:t xml:space="preserve">El monto de la cuota deberá ser igual o superior a $1000.- </w:t>
      </w:r>
    </w:p>
    <w:p w:rsidR="00516152" w:rsidRDefault="00516152" w:rsidP="00143788">
      <w:pPr>
        <w:pStyle w:val="Textoindependiente"/>
        <w:widowControl w:val="0"/>
        <w:numPr>
          <w:ilvl w:val="0"/>
          <w:numId w:val="14"/>
        </w:numPr>
        <w:tabs>
          <w:tab w:val="left" w:pos="9356"/>
        </w:tabs>
        <w:ind w:left="426" w:right="23"/>
        <w:rPr>
          <w:lang w:val="es-AR"/>
        </w:rPr>
      </w:pPr>
      <w:r>
        <w:rPr>
          <w:lang w:val="es-AR"/>
        </w:rPr>
        <w:t xml:space="preserve">Se deberá generar un Volante </w:t>
      </w:r>
      <w:r w:rsidR="00D10F19">
        <w:rPr>
          <w:lang w:val="es-AR"/>
        </w:rPr>
        <w:t>Electrónico</w:t>
      </w:r>
      <w:r>
        <w:rPr>
          <w:lang w:val="es-AR"/>
        </w:rPr>
        <w:t xml:space="preserve"> de Pago (VEP) para efectuar el ingreso del importe del pago a cuenta, que tendrá validez hasta  la hora 24 del </w:t>
      </w:r>
      <w:r w:rsidR="00D10F19">
        <w:rPr>
          <w:lang w:val="es-AR"/>
        </w:rPr>
        <w:t>día</w:t>
      </w:r>
      <w:r>
        <w:rPr>
          <w:lang w:val="es-AR"/>
        </w:rPr>
        <w:t xml:space="preserve"> de su generación.</w:t>
      </w:r>
    </w:p>
    <w:p w:rsidR="00516152" w:rsidRDefault="00516152" w:rsidP="00143788">
      <w:pPr>
        <w:pStyle w:val="Textoindependiente"/>
        <w:widowControl w:val="0"/>
        <w:numPr>
          <w:ilvl w:val="0"/>
          <w:numId w:val="14"/>
        </w:numPr>
        <w:tabs>
          <w:tab w:val="left" w:pos="9356"/>
        </w:tabs>
        <w:ind w:left="426" w:right="23"/>
        <w:rPr>
          <w:lang w:val="es-AR"/>
        </w:rPr>
      </w:pPr>
      <w:r>
        <w:rPr>
          <w:lang w:val="es-AR"/>
        </w:rPr>
        <w:t xml:space="preserve">La confirmación de la </w:t>
      </w:r>
      <w:r w:rsidR="00D10F19">
        <w:rPr>
          <w:lang w:val="es-AR"/>
        </w:rPr>
        <w:t>cancelación</w:t>
      </w:r>
      <w:r>
        <w:rPr>
          <w:lang w:val="es-AR"/>
        </w:rPr>
        <w:t xml:space="preserve"> del pago a cuenta producirá en forma automática el </w:t>
      </w:r>
      <w:r w:rsidR="00D10F19">
        <w:rPr>
          <w:lang w:val="es-AR"/>
        </w:rPr>
        <w:t>envío</w:t>
      </w:r>
      <w:r>
        <w:rPr>
          <w:lang w:val="es-AR"/>
        </w:rPr>
        <w:t xml:space="preserve"> de la solicitud de adhesión al plan.</w:t>
      </w:r>
      <w:r w:rsidR="00D10F19">
        <w:rPr>
          <w:lang w:val="es-AR"/>
        </w:rPr>
        <w:t xml:space="preserve"> La misma será comunicada a través del servicio “e-ventanilla”.</w:t>
      </w:r>
    </w:p>
    <w:p w:rsidR="001B28FB" w:rsidRDefault="001B28FB" w:rsidP="001B28FB">
      <w:pPr>
        <w:pStyle w:val="Textoindependiente"/>
        <w:widowControl w:val="0"/>
        <w:tabs>
          <w:tab w:val="left" w:pos="9356"/>
        </w:tabs>
        <w:ind w:right="23"/>
        <w:rPr>
          <w:lang w:val="es-AR"/>
        </w:rPr>
      </w:pPr>
    </w:p>
    <w:p w:rsidR="00D10F19" w:rsidRDefault="00D10F19" w:rsidP="001B28FB">
      <w:pPr>
        <w:pStyle w:val="Textoindependiente"/>
        <w:widowControl w:val="0"/>
        <w:tabs>
          <w:tab w:val="left" w:pos="9356"/>
        </w:tabs>
        <w:ind w:right="23"/>
        <w:rPr>
          <w:lang w:val="es-AR"/>
        </w:rPr>
      </w:pPr>
      <w:r>
        <w:rPr>
          <w:lang w:val="es-AR"/>
        </w:rPr>
        <w:t xml:space="preserve">Será </w:t>
      </w:r>
      <w:r w:rsidRPr="00D10F19">
        <w:rPr>
          <w:b/>
          <w:u w:val="single"/>
          <w:lang w:val="es-AR"/>
        </w:rPr>
        <w:t>condición excluyente</w:t>
      </w:r>
      <w:r>
        <w:rPr>
          <w:lang w:val="es-AR"/>
        </w:rPr>
        <w:t xml:space="preserve"> para adherir al plan, que las declaraciones juradas determinativas se encuentren presentadas antes de la fecha de adhesión al régimen.</w:t>
      </w:r>
    </w:p>
    <w:p w:rsidR="00D10F19" w:rsidRDefault="00D10F19" w:rsidP="001B28FB">
      <w:pPr>
        <w:pStyle w:val="Textoindependiente"/>
        <w:widowControl w:val="0"/>
        <w:tabs>
          <w:tab w:val="left" w:pos="9356"/>
        </w:tabs>
        <w:ind w:right="23"/>
        <w:rPr>
          <w:lang w:val="es-AR"/>
        </w:rPr>
      </w:pPr>
    </w:p>
    <w:p w:rsidR="001B28FB" w:rsidRDefault="001B28FB" w:rsidP="001B28FB">
      <w:pPr>
        <w:pStyle w:val="Textoindependiente"/>
        <w:widowControl w:val="0"/>
        <w:tabs>
          <w:tab w:val="left" w:pos="9356"/>
        </w:tabs>
        <w:ind w:right="23"/>
        <w:rPr>
          <w:lang w:val="es-AR"/>
        </w:rPr>
      </w:pPr>
    </w:p>
    <w:p w:rsidR="00E02442" w:rsidRDefault="00E02442" w:rsidP="001B28FB">
      <w:pPr>
        <w:pStyle w:val="Textoindependiente"/>
        <w:widowControl w:val="0"/>
        <w:tabs>
          <w:tab w:val="left" w:pos="9356"/>
        </w:tabs>
        <w:ind w:right="23"/>
        <w:rPr>
          <w:lang w:val="es-AR"/>
        </w:rPr>
      </w:pPr>
    </w:p>
    <w:p w:rsidR="00EE20AC" w:rsidRPr="00397996" w:rsidRDefault="00EE20AC" w:rsidP="00EE20AC">
      <w:pPr>
        <w:pStyle w:val="Textoindependiente"/>
        <w:widowControl w:val="0"/>
        <w:tabs>
          <w:tab w:val="left" w:pos="9356"/>
        </w:tabs>
        <w:ind w:right="23"/>
        <w:rPr>
          <w:b/>
          <w:u w:val="single"/>
          <w:lang w:val="es-AR"/>
        </w:rPr>
      </w:pPr>
      <w:r w:rsidRPr="00241240">
        <w:rPr>
          <w:b/>
          <w:u w:val="single"/>
          <w:lang w:val="es-AR"/>
        </w:rPr>
        <w:t>Adhesión, requisitos y formalidades</w:t>
      </w:r>
    </w:p>
    <w:p w:rsidR="00EE20AC" w:rsidRPr="00D245AD" w:rsidRDefault="00EE20AC" w:rsidP="00EE20AC">
      <w:pPr>
        <w:pStyle w:val="Textoindependiente"/>
        <w:widowControl w:val="0"/>
        <w:tabs>
          <w:tab w:val="left" w:pos="9356"/>
        </w:tabs>
        <w:ind w:right="23"/>
        <w:rPr>
          <w:lang w:val="es-AR"/>
        </w:rPr>
      </w:pPr>
    </w:p>
    <w:p w:rsidR="00EE20AC" w:rsidRDefault="00EE20AC" w:rsidP="00EE20AC">
      <w:pPr>
        <w:pStyle w:val="Textoindependiente"/>
        <w:widowControl w:val="0"/>
        <w:tabs>
          <w:tab w:val="left" w:pos="9356"/>
        </w:tabs>
        <w:ind w:right="23"/>
        <w:rPr>
          <w:lang w:val="es-AR"/>
        </w:rPr>
      </w:pPr>
      <w:r>
        <w:rPr>
          <w:lang w:val="es-AR"/>
        </w:rPr>
        <w:t>Para acogerse al plan de facilidades de pago se deberá:</w:t>
      </w:r>
    </w:p>
    <w:p w:rsidR="00EE20AC" w:rsidRPr="00D245AD" w:rsidRDefault="00EE20AC" w:rsidP="00EE20AC">
      <w:pPr>
        <w:pStyle w:val="Textoindependiente"/>
        <w:widowControl w:val="0"/>
        <w:tabs>
          <w:tab w:val="left" w:pos="9356"/>
        </w:tabs>
        <w:ind w:right="23"/>
        <w:rPr>
          <w:lang w:val="es-AR"/>
        </w:rPr>
      </w:pPr>
    </w:p>
    <w:p w:rsidR="00EE20AC" w:rsidRDefault="00EE20AC" w:rsidP="00EE20AC">
      <w:pPr>
        <w:pStyle w:val="Textoindependiente"/>
        <w:widowControl w:val="0"/>
        <w:numPr>
          <w:ilvl w:val="0"/>
          <w:numId w:val="46"/>
        </w:numPr>
        <w:tabs>
          <w:tab w:val="left" w:pos="9356"/>
        </w:tabs>
        <w:ind w:right="23"/>
        <w:rPr>
          <w:lang w:val="es-AR"/>
        </w:rPr>
      </w:pPr>
      <w:r>
        <w:rPr>
          <w:lang w:val="es-AR"/>
        </w:rPr>
        <w:t>Poseer domicilio fiscal electrónico constituido.</w:t>
      </w:r>
    </w:p>
    <w:p w:rsidR="00EE20AC" w:rsidRDefault="00EE20AC" w:rsidP="00EE20AC">
      <w:pPr>
        <w:pStyle w:val="Textoindependiente"/>
        <w:widowControl w:val="0"/>
        <w:numPr>
          <w:ilvl w:val="0"/>
          <w:numId w:val="46"/>
        </w:numPr>
        <w:tabs>
          <w:tab w:val="left" w:pos="9356"/>
        </w:tabs>
        <w:ind w:right="23"/>
        <w:rPr>
          <w:lang w:val="es-AR"/>
        </w:rPr>
      </w:pPr>
      <w:r>
        <w:rPr>
          <w:lang w:val="es-AR"/>
        </w:rPr>
        <w:t>Declarar un CBU en el servicio “Declaración de CBU”</w:t>
      </w:r>
    </w:p>
    <w:p w:rsidR="00EE20AC" w:rsidRDefault="00EE20AC" w:rsidP="00EE20AC">
      <w:pPr>
        <w:pStyle w:val="Textoindependiente"/>
        <w:widowControl w:val="0"/>
        <w:numPr>
          <w:ilvl w:val="0"/>
          <w:numId w:val="46"/>
        </w:numPr>
        <w:tabs>
          <w:tab w:val="left" w:pos="9356"/>
        </w:tabs>
        <w:ind w:right="23"/>
        <w:rPr>
          <w:lang w:val="es-AR"/>
        </w:rPr>
      </w:pPr>
      <w:r>
        <w:rPr>
          <w:lang w:val="es-AR"/>
        </w:rPr>
        <w:t>La adhesión al plan de facilidades de pago deberá realizarse a través del sistema “Mis facilidades” del sitio web de AFIP.</w:t>
      </w:r>
    </w:p>
    <w:p w:rsidR="00EE20AC" w:rsidRDefault="00EE20AC" w:rsidP="00EE20AC">
      <w:pPr>
        <w:pStyle w:val="Textoindependiente"/>
        <w:widowControl w:val="0"/>
        <w:numPr>
          <w:ilvl w:val="0"/>
          <w:numId w:val="46"/>
        </w:numPr>
        <w:tabs>
          <w:tab w:val="left" w:pos="9356"/>
        </w:tabs>
        <w:ind w:right="23"/>
        <w:rPr>
          <w:lang w:val="es-AR"/>
        </w:rPr>
      </w:pPr>
      <w:r>
        <w:rPr>
          <w:lang w:val="es-AR"/>
        </w:rPr>
        <w:t xml:space="preserve"> Convalidar, modificar, incorporar y/o eliminar las obligaciones adeudadas a regularizar.</w:t>
      </w:r>
    </w:p>
    <w:p w:rsidR="00EE20AC" w:rsidRDefault="00EE20AC" w:rsidP="00EE20AC">
      <w:pPr>
        <w:pStyle w:val="Textoindependiente"/>
        <w:widowControl w:val="0"/>
        <w:numPr>
          <w:ilvl w:val="0"/>
          <w:numId w:val="46"/>
        </w:numPr>
        <w:tabs>
          <w:tab w:val="left" w:pos="9356"/>
        </w:tabs>
        <w:ind w:right="23"/>
        <w:rPr>
          <w:lang w:val="es-AR"/>
        </w:rPr>
      </w:pPr>
      <w:r>
        <w:rPr>
          <w:lang w:val="es-AR"/>
        </w:rPr>
        <w:t>Se tendrá que elegir el plan de facilidades de acuerdo al tipo de obligación que se pretende regularizar; así como también se podrán reformular los planes de facilidades vigentes.</w:t>
      </w:r>
    </w:p>
    <w:p w:rsidR="00EE20AC" w:rsidRDefault="00EE20AC" w:rsidP="00EE20AC">
      <w:pPr>
        <w:pStyle w:val="Textoindependiente"/>
        <w:widowControl w:val="0"/>
        <w:numPr>
          <w:ilvl w:val="0"/>
          <w:numId w:val="46"/>
        </w:numPr>
        <w:tabs>
          <w:tab w:val="left" w:pos="9356"/>
        </w:tabs>
        <w:ind w:right="23"/>
        <w:rPr>
          <w:lang w:val="es-AR"/>
        </w:rPr>
      </w:pPr>
      <w:r>
        <w:rPr>
          <w:lang w:val="es-AR"/>
        </w:rPr>
        <w:t>Seleccionar la Clave Bancaria Uniforme (CBU) a utilizar.</w:t>
      </w:r>
    </w:p>
    <w:p w:rsidR="00EE20AC" w:rsidRDefault="00EE20AC" w:rsidP="00EE20AC">
      <w:pPr>
        <w:pStyle w:val="Textoindependiente"/>
        <w:widowControl w:val="0"/>
        <w:numPr>
          <w:ilvl w:val="0"/>
          <w:numId w:val="46"/>
        </w:numPr>
        <w:tabs>
          <w:tab w:val="left" w:pos="9356"/>
        </w:tabs>
        <w:ind w:right="23"/>
        <w:rPr>
          <w:lang w:val="es-AR"/>
        </w:rPr>
      </w:pPr>
      <w:r>
        <w:rPr>
          <w:lang w:val="es-AR"/>
        </w:rPr>
        <w:lastRenderedPageBreak/>
        <w:t>Generar el Volante de Electrónico de Pago (VEP) correspondiente al pago a cuenta y efectuar su ingreso.</w:t>
      </w:r>
    </w:p>
    <w:p w:rsidR="00EE20AC" w:rsidRDefault="00EE20AC" w:rsidP="00EE20AC">
      <w:pPr>
        <w:pStyle w:val="Textoindependiente"/>
        <w:widowControl w:val="0"/>
        <w:numPr>
          <w:ilvl w:val="0"/>
          <w:numId w:val="46"/>
        </w:numPr>
        <w:tabs>
          <w:tab w:val="left" w:pos="9356"/>
        </w:tabs>
        <w:ind w:right="23"/>
        <w:rPr>
          <w:lang w:val="es-AR"/>
        </w:rPr>
      </w:pPr>
      <w:r>
        <w:rPr>
          <w:lang w:val="es-AR"/>
        </w:rPr>
        <w:t>Imprimir el formulario de declaración jurada Nº 1003 junto con el acuse de recibo de la presentación realizada, una vez registrado el pago a cuenta y producido el envío automático del plan.</w:t>
      </w:r>
    </w:p>
    <w:p w:rsidR="00EE20AC" w:rsidRDefault="00EE20AC" w:rsidP="001B28FB">
      <w:pPr>
        <w:pStyle w:val="Textoindependiente"/>
        <w:widowControl w:val="0"/>
        <w:tabs>
          <w:tab w:val="left" w:pos="9356"/>
        </w:tabs>
        <w:ind w:right="23"/>
        <w:rPr>
          <w:lang w:val="es-AR"/>
        </w:rPr>
      </w:pPr>
    </w:p>
    <w:p w:rsidR="00E02442" w:rsidRDefault="00E02442" w:rsidP="001B28FB">
      <w:pPr>
        <w:pStyle w:val="Textoindependiente"/>
        <w:widowControl w:val="0"/>
        <w:tabs>
          <w:tab w:val="left" w:pos="9356"/>
        </w:tabs>
        <w:ind w:right="23"/>
        <w:rPr>
          <w:lang w:val="es-AR"/>
        </w:rPr>
      </w:pPr>
    </w:p>
    <w:p w:rsidR="00CC15E8" w:rsidRDefault="00CC15E8" w:rsidP="001B28FB">
      <w:pPr>
        <w:pStyle w:val="Textoindependiente"/>
        <w:widowControl w:val="0"/>
        <w:tabs>
          <w:tab w:val="left" w:pos="9356"/>
        </w:tabs>
        <w:ind w:right="23"/>
        <w:rPr>
          <w:lang w:val="es-AR"/>
        </w:rPr>
      </w:pPr>
    </w:p>
    <w:p w:rsidR="00CC15E8" w:rsidRDefault="00CC15E8" w:rsidP="00CC15E8">
      <w:pPr>
        <w:pStyle w:val="Textoindependiente"/>
        <w:widowControl w:val="0"/>
        <w:tabs>
          <w:tab w:val="left" w:pos="709"/>
        </w:tabs>
        <w:ind w:right="23"/>
        <w:rPr>
          <w:b/>
          <w:u w:val="single"/>
          <w:lang w:val="es-AR"/>
        </w:rPr>
      </w:pPr>
      <w:r>
        <w:rPr>
          <w:b/>
          <w:u w:val="single"/>
          <w:lang w:val="es-AR"/>
        </w:rPr>
        <w:t>Vencimiento de las cuotas</w:t>
      </w:r>
    </w:p>
    <w:p w:rsidR="00CC15E8" w:rsidRDefault="00CC15E8" w:rsidP="00CC15E8">
      <w:pPr>
        <w:pStyle w:val="Textoindependiente"/>
        <w:widowControl w:val="0"/>
        <w:tabs>
          <w:tab w:val="left" w:pos="9356"/>
        </w:tabs>
        <w:ind w:right="23"/>
        <w:rPr>
          <w:b/>
          <w:u w:val="single"/>
          <w:lang w:val="es-AR"/>
        </w:rPr>
      </w:pPr>
    </w:p>
    <w:p w:rsidR="00CC15E8" w:rsidRDefault="00CC15E8" w:rsidP="00CC15E8">
      <w:pPr>
        <w:pStyle w:val="Textoindependiente"/>
        <w:widowControl w:val="0"/>
        <w:tabs>
          <w:tab w:val="left" w:pos="9356"/>
        </w:tabs>
        <w:ind w:right="23"/>
        <w:rPr>
          <w:lang w:val="es-AR"/>
        </w:rPr>
      </w:pPr>
      <w:r>
        <w:rPr>
          <w:lang w:val="es-AR"/>
        </w:rPr>
        <w:t>Las cuotas vencerán el día 16 de cada mes a partir del mes inmediato siguiente a aquel en que se consolide la deuda y se formalice la adhesión y se cancelarán mediante el procedimiento de débito directo en cuenta bancaria.</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En caso que a la fecha de vencimiento general no se hubiera efectivizado la cancelación de la respectiva cuota, se procederá a realizar un segundo intento de débito directo de la cuenta corriente o caja de ahorro el día 26 del mismo mes.</w:t>
      </w:r>
    </w:p>
    <w:p w:rsidR="00CC15E8" w:rsidRDefault="00CC15E8" w:rsidP="00CC15E8">
      <w:pPr>
        <w:pStyle w:val="Textoindependiente"/>
        <w:widowControl w:val="0"/>
        <w:tabs>
          <w:tab w:val="left" w:pos="9356"/>
        </w:tabs>
        <w:ind w:right="23"/>
        <w:rPr>
          <w:lang w:val="es-AR"/>
        </w:rPr>
      </w:pPr>
    </w:p>
    <w:p w:rsidR="00CC15E8" w:rsidRDefault="00CC15E8" w:rsidP="00CC15E8">
      <w:pPr>
        <w:pStyle w:val="Textoindependiente"/>
        <w:widowControl w:val="0"/>
        <w:tabs>
          <w:tab w:val="left" w:pos="9356"/>
        </w:tabs>
        <w:ind w:right="23"/>
        <w:rPr>
          <w:lang w:val="es-AR"/>
        </w:rPr>
      </w:pPr>
      <w:r w:rsidRPr="00D670BE">
        <w:rPr>
          <w:lang w:val="es-AR"/>
        </w:rPr>
        <w:t>La</w:t>
      </w:r>
      <w:r>
        <w:rPr>
          <w:lang w:val="es-AR"/>
        </w:rPr>
        <w:t>s</w:t>
      </w:r>
      <w:r w:rsidRPr="00D670BE">
        <w:rPr>
          <w:lang w:val="es-AR"/>
        </w:rPr>
        <w:t xml:space="preserve"> cuota</w:t>
      </w:r>
      <w:r>
        <w:rPr>
          <w:lang w:val="es-AR"/>
        </w:rPr>
        <w:t xml:space="preserve">s que no hubieran sido debitadas en la fecha indicada en el párrafo anterior, </w:t>
      </w:r>
      <w:r w:rsidRPr="00D670BE">
        <w:rPr>
          <w:lang w:val="es-AR"/>
        </w:rPr>
        <w:t xml:space="preserve">  así como los respectivos intereses, </w:t>
      </w:r>
      <w:r>
        <w:rPr>
          <w:lang w:val="es-AR"/>
        </w:rPr>
        <w:t>podrán ser rehabilitadas por sistema y se</w:t>
      </w:r>
      <w:r w:rsidRPr="00D670BE">
        <w:rPr>
          <w:lang w:val="es-AR"/>
        </w:rPr>
        <w:t xml:space="preserve"> debitará el día 12 del mes inmediato siguiente al mes en el que el contribuyente hubiera solicitado la rehabilitación de la misma</w:t>
      </w:r>
      <w:r>
        <w:rPr>
          <w:lang w:val="es-AR"/>
        </w:rPr>
        <w:t>.</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Cuando los días de vencimiento fijados para el cobro de las cuotas coincidan con días feriados o inhábiles, se trasladarán al primer día hábil inmediato siguiente.</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Los sujetos que adhieran al presente régimen podrán solicitar la cancelación anticipada total de la deuda a partir del mes en que se produce el vencimiento de la segunda cuota del respectivo plan a través del Sistema “Mis Facilidades”.</w:t>
      </w:r>
    </w:p>
    <w:p w:rsidR="00CC15E8" w:rsidRPr="00D670BE" w:rsidRDefault="00CC15E8" w:rsidP="00CC15E8">
      <w:pPr>
        <w:pStyle w:val="Textoindependiente"/>
        <w:widowControl w:val="0"/>
        <w:tabs>
          <w:tab w:val="left" w:pos="9356"/>
        </w:tabs>
        <w:ind w:right="23"/>
        <w:rPr>
          <w:lang w:val="es-AR"/>
        </w:rPr>
      </w:pPr>
      <w:r w:rsidRPr="00D670BE">
        <w:rPr>
          <w:lang w:val="es-AR"/>
        </w:rPr>
        <w:t xml:space="preserve">A tal efecto deberán presentar una </w:t>
      </w:r>
      <w:proofErr w:type="spellStart"/>
      <w:r w:rsidRPr="00D670BE">
        <w:rPr>
          <w:lang w:val="es-AR"/>
        </w:rPr>
        <w:t>Multinota</w:t>
      </w:r>
      <w:proofErr w:type="spellEnd"/>
      <w:r w:rsidRPr="00D670BE">
        <w:rPr>
          <w:lang w:val="es-AR"/>
        </w:rPr>
        <w:t xml:space="preserve"> en la Agencia donde se encuentran inscriptos.</w:t>
      </w:r>
    </w:p>
    <w:p w:rsidR="00CC15E8" w:rsidRPr="00D670BE" w:rsidRDefault="00CC15E8" w:rsidP="00CC15E8">
      <w:pPr>
        <w:pStyle w:val="Textoindependiente"/>
        <w:widowControl w:val="0"/>
        <w:tabs>
          <w:tab w:val="left" w:pos="9356"/>
        </w:tabs>
        <w:ind w:left="284" w:right="23"/>
        <w:rPr>
          <w:lang w:val="es-AR"/>
        </w:rPr>
      </w:pPr>
    </w:p>
    <w:p w:rsidR="00CC15E8" w:rsidRPr="00D670BE" w:rsidRDefault="00CC15E8" w:rsidP="00CC15E8">
      <w:pPr>
        <w:pStyle w:val="Textoindependiente"/>
        <w:widowControl w:val="0"/>
        <w:tabs>
          <w:tab w:val="left" w:pos="9356"/>
        </w:tabs>
        <w:ind w:right="23"/>
        <w:rPr>
          <w:lang w:val="es-AR"/>
        </w:rPr>
      </w:pPr>
      <w:r w:rsidRPr="00D670BE">
        <w:rPr>
          <w:lang w:val="es-AR"/>
        </w:rPr>
        <w:t xml:space="preserve">El sistema “Mis Facilidades” calculará el monto adeudado, al día 12 del mes siguiente de efectuada la solicitud de cancelación anticipada, fecha en la cual será debitado de la cuenta bancaria. </w:t>
      </w:r>
    </w:p>
    <w:p w:rsidR="00CC15E8" w:rsidRDefault="00CC15E8" w:rsidP="001B28FB">
      <w:pPr>
        <w:pStyle w:val="Textoindependiente"/>
        <w:widowControl w:val="0"/>
        <w:tabs>
          <w:tab w:val="left" w:pos="9356"/>
        </w:tabs>
        <w:ind w:right="23"/>
        <w:rPr>
          <w:lang w:val="es-AR"/>
        </w:rPr>
      </w:pPr>
    </w:p>
    <w:p w:rsidR="00EE20AC" w:rsidRDefault="00EE20AC" w:rsidP="001B28FB">
      <w:pPr>
        <w:pStyle w:val="Textoindependiente"/>
        <w:widowControl w:val="0"/>
        <w:tabs>
          <w:tab w:val="left" w:pos="9356"/>
        </w:tabs>
        <w:ind w:right="23"/>
        <w:rPr>
          <w:lang w:val="es-AR"/>
        </w:rPr>
      </w:pPr>
    </w:p>
    <w:p w:rsidR="00E02442" w:rsidRDefault="00E02442" w:rsidP="001B28FB">
      <w:pPr>
        <w:pStyle w:val="Textoindependiente"/>
        <w:widowControl w:val="0"/>
        <w:tabs>
          <w:tab w:val="left" w:pos="9356"/>
        </w:tabs>
        <w:ind w:right="23"/>
        <w:rPr>
          <w:lang w:val="es-AR"/>
        </w:rPr>
      </w:pPr>
    </w:p>
    <w:p w:rsidR="001B28FB" w:rsidRPr="00756AD4" w:rsidRDefault="001B28FB" w:rsidP="001B28FB">
      <w:pPr>
        <w:pStyle w:val="Textoindependiente"/>
        <w:widowControl w:val="0"/>
        <w:tabs>
          <w:tab w:val="left" w:pos="9356"/>
        </w:tabs>
        <w:ind w:right="23"/>
        <w:rPr>
          <w:b/>
          <w:u w:val="single"/>
          <w:lang w:val="es-AR"/>
        </w:rPr>
      </w:pPr>
      <w:r>
        <w:rPr>
          <w:b/>
          <w:u w:val="single"/>
          <w:lang w:val="es-AR"/>
        </w:rPr>
        <w:t>Tasa de Financiación</w:t>
      </w:r>
    </w:p>
    <w:p w:rsidR="001B28FB" w:rsidRPr="00143788" w:rsidRDefault="001B28FB" w:rsidP="001B28FB">
      <w:pPr>
        <w:pStyle w:val="Textoindependiente"/>
        <w:widowControl w:val="0"/>
        <w:tabs>
          <w:tab w:val="left" w:pos="9356"/>
        </w:tabs>
        <w:ind w:right="23"/>
        <w:rPr>
          <w:lang w:val="es-AR"/>
        </w:rPr>
      </w:pPr>
    </w:p>
    <w:p w:rsidR="00143788" w:rsidRDefault="00143788" w:rsidP="00143788">
      <w:pPr>
        <w:pStyle w:val="Textoindependiente"/>
        <w:widowControl w:val="0"/>
        <w:tabs>
          <w:tab w:val="left" w:pos="9356"/>
        </w:tabs>
        <w:ind w:right="23"/>
        <w:rPr>
          <w:lang w:val="es-AR"/>
        </w:rPr>
      </w:pPr>
      <w:r w:rsidRPr="00143788">
        <w:rPr>
          <w:lang w:val="es-AR"/>
        </w:rPr>
        <w:t xml:space="preserve">La tasa de financiamiento </w:t>
      </w:r>
      <w:r w:rsidR="001B28FB" w:rsidRPr="00143788">
        <w:rPr>
          <w:lang w:val="es-AR"/>
        </w:rPr>
        <w:t>mensual aplicable se publicará en el sito “web” de este Organismo (</w:t>
      </w:r>
      <w:hyperlink r:id="rId9" w:history="1">
        <w:r w:rsidR="001B28FB" w:rsidRPr="00B64FE6">
          <w:rPr>
            <w:rStyle w:val="Hipervnculo"/>
            <w:lang w:val="es-AR"/>
          </w:rPr>
          <w:t>http://www.afip.gob.ar</w:t>
        </w:r>
      </w:hyperlink>
      <w:r w:rsidR="001B28FB" w:rsidRPr="00143788">
        <w:rPr>
          <w:lang w:val="es-AR"/>
        </w:rPr>
        <w:t>)</w:t>
      </w:r>
      <w:r w:rsidR="001B28FB">
        <w:rPr>
          <w:lang w:val="es-AR"/>
        </w:rPr>
        <w:t xml:space="preserve"> y </w:t>
      </w:r>
      <w:r w:rsidRPr="00143788">
        <w:rPr>
          <w:lang w:val="es-AR"/>
        </w:rPr>
        <w:t>se determinará conforme a la cantidad máxima de cuotas que el contribuyente considere oportuno y/o a las que pueda acceder y a la caracterización respectiva con la que cuente en el “Sistema Registral” a la fecha de consolidación</w:t>
      </w:r>
      <w:r w:rsidR="001B28FB">
        <w:rPr>
          <w:lang w:val="es-AR"/>
        </w:rPr>
        <w:t>.</w:t>
      </w:r>
    </w:p>
    <w:p w:rsidR="00143788" w:rsidRDefault="00143788" w:rsidP="00143788">
      <w:pPr>
        <w:pStyle w:val="Textoindependiente"/>
        <w:widowControl w:val="0"/>
        <w:tabs>
          <w:tab w:val="left" w:pos="9356"/>
        </w:tabs>
        <w:ind w:right="23"/>
        <w:rPr>
          <w:lang w:val="es-AR"/>
        </w:rPr>
      </w:pPr>
    </w:p>
    <w:p w:rsidR="00E02442" w:rsidRDefault="00E02442" w:rsidP="00143788">
      <w:pPr>
        <w:pStyle w:val="Textoindependiente"/>
        <w:widowControl w:val="0"/>
        <w:tabs>
          <w:tab w:val="left" w:pos="9356"/>
        </w:tabs>
        <w:ind w:right="23"/>
        <w:rPr>
          <w:lang w:val="es-AR"/>
        </w:rPr>
      </w:pPr>
    </w:p>
    <w:p w:rsidR="00E02442" w:rsidRDefault="00E02442" w:rsidP="00143788">
      <w:pPr>
        <w:pStyle w:val="Textoindependiente"/>
        <w:widowControl w:val="0"/>
        <w:tabs>
          <w:tab w:val="left" w:pos="9356"/>
        </w:tabs>
        <w:ind w:right="23"/>
        <w:rPr>
          <w:lang w:val="es-AR"/>
        </w:rPr>
      </w:pPr>
    </w:p>
    <w:p w:rsidR="00E02442" w:rsidRDefault="00E02442" w:rsidP="00143788">
      <w:pPr>
        <w:pStyle w:val="Textoindependiente"/>
        <w:widowControl w:val="0"/>
        <w:tabs>
          <w:tab w:val="left" w:pos="9356"/>
        </w:tabs>
        <w:ind w:right="23"/>
        <w:rPr>
          <w:lang w:val="es-AR"/>
        </w:rPr>
      </w:pPr>
    </w:p>
    <w:p w:rsidR="00143788" w:rsidRPr="001B28FB" w:rsidRDefault="001B28FB" w:rsidP="001B28FB">
      <w:pPr>
        <w:spacing w:before="200" w:after="100"/>
        <w:ind w:left="117" w:right="117"/>
        <w:jc w:val="center"/>
        <w:rPr>
          <w:rFonts w:ascii="Verdana" w:hAnsi="Verdana"/>
          <w:color w:val="000000"/>
          <w:sz w:val="18"/>
          <w:szCs w:val="18"/>
          <w:lang w:val="es-ES"/>
        </w:rPr>
      </w:pPr>
      <w:r w:rsidRPr="001B28FB">
        <w:rPr>
          <w:rFonts w:ascii="Verdana" w:hAnsi="Verdana"/>
          <w:color w:val="000000"/>
          <w:sz w:val="18"/>
          <w:szCs w:val="18"/>
          <w:lang w:val="es-ES"/>
        </w:rPr>
        <w:lastRenderedPageBreak/>
        <w:t>D</w:t>
      </w:r>
      <w:r w:rsidR="00143788" w:rsidRPr="001B28FB">
        <w:rPr>
          <w:rFonts w:ascii="Verdana" w:hAnsi="Verdana"/>
          <w:color w:val="000000"/>
          <w:sz w:val="18"/>
          <w:szCs w:val="18"/>
          <w:lang w:val="es-ES"/>
        </w:rPr>
        <w:t>ETERMINACIÓN DE CANTIDAD DE CUOTAS Y TASA EFECTIVA MENSUAL DE FINANCIAMIENTO PARA LOS MESES DE AGOSTO Y SETIEMBRE DE 2018</w:t>
      </w:r>
    </w:p>
    <w:p w:rsidR="00143788" w:rsidRPr="00143788" w:rsidRDefault="00143788" w:rsidP="00143788">
      <w:pPr>
        <w:pStyle w:val="Textoindependiente"/>
        <w:widowControl w:val="0"/>
        <w:tabs>
          <w:tab w:val="left" w:pos="9356"/>
        </w:tabs>
        <w:ind w:right="23"/>
        <w:rPr>
          <w:lang w:val="es-AR"/>
        </w:rPr>
      </w:pPr>
      <w:r w:rsidRPr="00143788">
        <w:rPr>
          <w:lang w:val="es-AR"/>
        </w:rPr>
        <w:t> </w:t>
      </w:r>
    </w:p>
    <w:tbl>
      <w:tblPr>
        <w:tblW w:w="844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47"/>
        <w:gridCol w:w="1114"/>
        <w:gridCol w:w="2907"/>
        <w:gridCol w:w="2976"/>
      </w:tblGrid>
      <w:tr w:rsidR="00143788" w:rsidRPr="00143788" w:rsidTr="001B28FB">
        <w:trPr>
          <w:trHeight w:val="256"/>
        </w:trPr>
        <w:tc>
          <w:tcPr>
            <w:tcW w:w="1447" w:type="dxa"/>
            <w:vMerge w:val="restart"/>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b/>
                <w:bCs/>
                <w:color w:val="000000"/>
                <w:sz w:val="15"/>
                <w:lang w:val="es-ES"/>
              </w:rPr>
              <w:t>Tipo de plan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b/>
                <w:bCs/>
                <w:color w:val="000000"/>
                <w:sz w:val="15"/>
                <w:lang w:val="es-ES"/>
              </w:rPr>
              <w:t>Cantidad de cuotas</w:t>
            </w:r>
          </w:p>
        </w:tc>
        <w:tc>
          <w:tcPr>
            <w:tcW w:w="5883" w:type="dxa"/>
            <w:gridSpan w:val="2"/>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b/>
                <w:bCs/>
                <w:color w:val="000000"/>
                <w:sz w:val="15"/>
                <w:lang w:val="es-ES"/>
              </w:rPr>
              <w:t>Categorización del contribuyente</w:t>
            </w:r>
          </w:p>
        </w:tc>
      </w:tr>
      <w:tr w:rsidR="00143788" w:rsidRPr="00143788" w:rsidTr="001B28FB">
        <w:trPr>
          <w:trHeight w:val="147"/>
        </w:trPr>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2907" w:type="dxa"/>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b/>
                <w:bCs/>
                <w:color w:val="000000"/>
                <w:sz w:val="15"/>
                <w:lang w:val="es-ES"/>
              </w:rPr>
              <w:t>Micro y pequeñas empresas</w:t>
            </w:r>
          </w:p>
        </w:tc>
        <w:tc>
          <w:tcPr>
            <w:tcW w:w="2976" w:type="dxa"/>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b/>
                <w:bCs/>
                <w:color w:val="000000"/>
                <w:sz w:val="15"/>
                <w:lang w:val="es-ES"/>
              </w:rPr>
              <w:t>Resto de contribuyentes</w:t>
            </w:r>
          </w:p>
        </w:tc>
      </w:tr>
      <w:tr w:rsidR="00143788" w:rsidRPr="00143788" w:rsidTr="001B28FB">
        <w:trPr>
          <w:trHeight w:val="147"/>
        </w:trPr>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5883" w:type="dxa"/>
            <w:gridSpan w:val="2"/>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rPr>
                <w:rFonts w:ascii="Verdana" w:hAnsi="Verdana"/>
                <w:color w:val="000000"/>
                <w:sz w:val="15"/>
                <w:szCs w:val="15"/>
                <w:lang w:val="es-ES"/>
              </w:rPr>
            </w:pPr>
            <w:r w:rsidRPr="00143788">
              <w:rPr>
                <w:rFonts w:ascii="Verdana" w:hAnsi="Verdana"/>
                <w:color w:val="000000"/>
                <w:sz w:val="15"/>
                <w:szCs w:val="15"/>
                <w:lang w:val="es-ES"/>
              </w:rPr>
              <w:t>Tasa efectiva mensual equivalente a la tasa nominal anual (TNA) canal electrónico para depósitos a plazo fijo en pesos en el Banco de la Nación Argentina a ciento ochenta (180) días, vigente para el día 20 del mes inmediato anterior al correspondiente a la consolidación del plan, con más los porcentajes nominales anuales que se indican en cada caso:</w:t>
            </w:r>
          </w:p>
        </w:tc>
      </w:tr>
      <w:tr w:rsidR="00143788" w:rsidRPr="00143788" w:rsidTr="001B28FB">
        <w:trPr>
          <w:trHeight w:val="1113"/>
        </w:trPr>
        <w:tc>
          <w:tcPr>
            <w:tcW w:w="1447"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rPr>
                <w:rFonts w:ascii="Verdana" w:hAnsi="Verdana"/>
                <w:color w:val="000000"/>
                <w:sz w:val="15"/>
                <w:szCs w:val="15"/>
                <w:lang w:val="es-ES"/>
              </w:rPr>
            </w:pPr>
            <w:r w:rsidRPr="00143788">
              <w:rPr>
                <w:rFonts w:ascii="Verdana" w:hAnsi="Verdana"/>
                <w:color w:val="000000"/>
                <w:sz w:val="15"/>
                <w:szCs w:val="15"/>
                <w:lang w:val="es-ES"/>
              </w:rPr>
              <w:t>Obligaciones anuales, mensuales, retenciones y percepciones impositivas</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color w:val="000000"/>
                <w:sz w:val="15"/>
                <w:szCs w:val="15"/>
                <w:lang w:val="es-ES"/>
              </w:rPr>
              <w:t>48</w:t>
            </w:r>
          </w:p>
        </w:tc>
        <w:tc>
          <w:tcPr>
            <w:tcW w:w="2907" w:type="dxa"/>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color w:val="000000"/>
                <w:sz w:val="15"/>
                <w:szCs w:val="15"/>
                <w:lang w:val="es-ES"/>
              </w:rPr>
              <w:t>2%</w:t>
            </w:r>
          </w:p>
        </w:tc>
        <w:tc>
          <w:tcPr>
            <w:tcW w:w="2976" w:type="dxa"/>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jc w:val="center"/>
              <w:rPr>
                <w:rFonts w:ascii="Verdana" w:hAnsi="Verdana"/>
                <w:color w:val="000000"/>
                <w:sz w:val="15"/>
                <w:szCs w:val="15"/>
                <w:lang w:val="es-ES"/>
              </w:rPr>
            </w:pPr>
            <w:r w:rsidRPr="00143788">
              <w:rPr>
                <w:rFonts w:ascii="Verdana" w:hAnsi="Verdana"/>
                <w:color w:val="000000"/>
                <w:sz w:val="15"/>
                <w:szCs w:val="15"/>
                <w:lang w:val="es-ES"/>
              </w:rPr>
              <w:t>3%</w:t>
            </w:r>
          </w:p>
        </w:tc>
      </w:tr>
      <w:tr w:rsidR="00143788" w:rsidRPr="00143788" w:rsidTr="001B28FB">
        <w:trPr>
          <w:trHeight w:val="376"/>
        </w:trPr>
        <w:tc>
          <w:tcPr>
            <w:tcW w:w="1447"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43788" w:rsidRPr="00143788" w:rsidRDefault="00143788" w:rsidP="00143788">
            <w:pPr>
              <w:ind w:left="117" w:right="117"/>
              <w:rPr>
                <w:rFonts w:ascii="Verdana" w:hAnsi="Verdana"/>
                <w:color w:val="000000"/>
                <w:sz w:val="15"/>
                <w:szCs w:val="15"/>
                <w:lang w:val="es-ES"/>
              </w:rPr>
            </w:pPr>
            <w:r w:rsidRPr="00143788">
              <w:rPr>
                <w:rFonts w:ascii="Verdana" w:hAnsi="Verdana"/>
                <w:color w:val="000000"/>
                <w:sz w:val="15"/>
                <w:szCs w:val="15"/>
                <w:lang w:val="es-ES"/>
              </w:rPr>
              <w:t>Reformulación de planes vigentes </w:t>
            </w:r>
            <w:hyperlink r:id="rId10" w:tgtFrame="_blank" w:history="1">
              <w:r w:rsidRPr="00143788">
                <w:rPr>
                  <w:rFonts w:ascii="Verdana" w:hAnsi="Verdana"/>
                  <w:color w:val="0000FF"/>
                  <w:sz w:val="15"/>
                  <w:u w:val="single"/>
                  <w:lang w:val="es-ES"/>
                </w:rPr>
                <w:t>RG 3827</w:t>
              </w:r>
            </w:hyperlink>
            <w:r w:rsidRPr="00143788">
              <w:rPr>
                <w:rFonts w:ascii="Verdana" w:hAnsi="Verdana"/>
                <w:color w:val="000000"/>
                <w:sz w:val="15"/>
                <w:szCs w:val="15"/>
                <w:lang w:val="es-ES"/>
              </w:rPr>
              <w:t> y </w:t>
            </w:r>
            <w:hyperlink r:id="rId11" w:tgtFrame="_blank" w:history="1">
              <w:r w:rsidRPr="00143788">
                <w:rPr>
                  <w:rFonts w:ascii="Verdana" w:hAnsi="Verdana"/>
                  <w:color w:val="0000FF"/>
                  <w:sz w:val="15"/>
                  <w:u w:val="single"/>
                  <w:lang w:val="es-ES"/>
                </w:rPr>
                <w:t>4099</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2907" w:type="dxa"/>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143788" w:rsidRPr="00143788" w:rsidRDefault="00143788" w:rsidP="00143788">
            <w:pPr>
              <w:rPr>
                <w:rFonts w:ascii="Verdana" w:hAnsi="Verdana"/>
                <w:color w:val="000000"/>
                <w:sz w:val="15"/>
                <w:szCs w:val="15"/>
                <w:lang w:val="es-ES"/>
              </w:rPr>
            </w:pPr>
          </w:p>
        </w:tc>
      </w:tr>
    </w:tbl>
    <w:p w:rsidR="00143788" w:rsidRPr="00143788" w:rsidRDefault="00143788" w:rsidP="00143788">
      <w:pPr>
        <w:spacing w:before="117" w:after="117"/>
        <w:ind w:left="117" w:right="117"/>
        <w:rPr>
          <w:color w:val="000000"/>
          <w:szCs w:val="24"/>
          <w:lang w:val="es-ES"/>
        </w:rPr>
      </w:pPr>
      <w:r w:rsidRPr="00143788">
        <w:rPr>
          <w:color w:val="000000"/>
          <w:szCs w:val="24"/>
          <w:lang w:val="es-ES"/>
        </w:rPr>
        <w:t> </w:t>
      </w:r>
    </w:p>
    <w:p w:rsidR="00143788" w:rsidRPr="001B28FB" w:rsidRDefault="00143788" w:rsidP="00143788">
      <w:pPr>
        <w:spacing w:before="200" w:after="100"/>
        <w:ind w:left="117" w:right="117"/>
        <w:jc w:val="center"/>
        <w:rPr>
          <w:rFonts w:ascii="Verdana" w:hAnsi="Verdana"/>
          <w:color w:val="000000"/>
          <w:sz w:val="18"/>
          <w:szCs w:val="18"/>
          <w:lang w:val="es-ES"/>
        </w:rPr>
      </w:pPr>
      <w:r w:rsidRPr="001B28FB">
        <w:rPr>
          <w:rFonts w:ascii="Verdana" w:hAnsi="Verdana"/>
          <w:color w:val="000000"/>
          <w:sz w:val="18"/>
          <w:szCs w:val="18"/>
          <w:lang w:val="es-ES"/>
        </w:rPr>
        <w:t>DETERMINACIÓN DE CANTIDAD DE CUOTAS Y TASA EFECTIVA MENSUAL DE FINANCIAMIENTO PARA EL MES DE OCTUBRE DE 2018</w:t>
      </w:r>
    </w:p>
    <w:tbl>
      <w:tblPr>
        <w:tblpPr w:leftFromText="141" w:rightFromText="141" w:vertAnchor="text" w:horzAnchor="margin" w:tblpXSpec="center" w:tblpY="261"/>
        <w:tblW w:w="8506"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tblPr>
      <w:tblGrid>
        <w:gridCol w:w="1485"/>
        <w:gridCol w:w="1134"/>
        <w:gridCol w:w="3484"/>
        <w:gridCol w:w="2403"/>
      </w:tblGrid>
      <w:tr w:rsidR="001B28FB" w:rsidRPr="00143788" w:rsidTr="00757439">
        <w:trPr>
          <w:trHeight w:val="240"/>
        </w:trPr>
        <w:tc>
          <w:tcPr>
            <w:tcW w:w="1485" w:type="dxa"/>
            <w:vMerge w:val="restar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b/>
                <w:bCs/>
                <w:color w:val="000000"/>
                <w:sz w:val="15"/>
                <w:lang w:val="es-ES"/>
              </w:rPr>
              <w:t>Tipo de plan</w:t>
            </w:r>
          </w:p>
        </w:tc>
        <w:tc>
          <w:tcPr>
            <w:tcW w:w="1134" w:type="dxa"/>
            <w:vMerge w:val="restar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b/>
                <w:bCs/>
                <w:color w:val="000000"/>
                <w:sz w:val="15"/>
                <w:lang w:val="es-ES"/>
              </w:rPr>
              <w:t>Cantidad de cuotas</w:t>
            </w:r>
          </w:p>
        </w:tc>
        <w:tc>
          <w:tcPr>
            <w:tcW w:w="5887" w:type="dxa"/>
            <w:gridSpan w:val="2"/>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b/>
                <w:bCs/>
                <w:color w:val="000000"/>
                <w:sz w:val="15"/>
                <w:lang w:val="es-ES"/>
              </w:rPr>
              <w:t>Categorización del contribuyente</w:t>
            </w:r>
          </w:p>
        </w:tc>
      </w:tr>
      <w:tr w:rsidR="001B28FB" w:rsidRPr="00143788" w:rsidTr="00757439">
        <w:trPr>
          <w:trHeight w:val="138"/>
        </w:trPr>
        <w:tc>
          <w:tcPr>
            <w:tcW w:w="1485" w:type="dxa"/>
            <w:vMerge/>
            <w:tcBorders>
              <w:top w:val="single" w:sz="12"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1134" w:type="dxa"/>
            <w:vMerge/>
            <w:tcBorders>
              <w:top w:val="single" w:sz="12"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3484" w:type="dxa"/>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b/>
                <w:bCs/>
                <w:color w:val="000000"/>
                <w:sz w:val="15"/>
                <w:lang w:val="es-ES"/>
              </w:rPr>
              <w:t>Micro y pequeñas empresas</w:t>
            </w:r>
          </w:p>
        </w:tc>
        <w:tc>
          <w:tcPr>
            <w:tcW w:w="2403" w:type="dxa"/>
            <w:tcBorders>
              <w:top w:val="single" w:sz="6"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b/>
                <w:bCs/>
                <w:color w:val="000000"/>
                <w:sz w:val="15"/>
                <w:lang w:val="es-ES"/>
              </w:rPr>
              <w:t>Resto de contribuyentes</w:t>
            </w:r>
          </w:p>
        </w:tc>
      </w:tr>
      <w:tr w:rsidR="001B28FB" w:rsidRPr="00143788" w:rsidTr="00757439">
        <w:trPr>
          <w:trHeight w:val="138"/>
        </w:trPr>
        <w:tc>
          <w:tcPr>
            <w:tcW w:w="1485" w:type="dxa"/>
            <w:vMerge/>
            <w:tcBorders>
              <w:top w:val="single" w:sz="12"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1134" w:type="dxa"/>
            <w:vMerge/>
            <w:tcBorders>
              <w:top w:val="single" w:sz="12"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5887" w:type="dxa"/>
            <w:gridSpan w:val="2"/>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color w:val="000000"/>
                <w:sz w:val="15"/>
                <w:szCs w:val="15"/>
                <w:lang w:val="es-ES"/>
              </w:rPr>
              <w:t>Tasa efectiva mensual equivalente a la tasa nominal anual (TNA) canal electrónico para depósitos a plazo fijo en pesos en el Banco de la Nación Argentina a ciento ochenta (180) días, vigente para el día 20 del mes inmediato anterior al correspondiente a la consolidación del plan, con más los porcentajes nominales anuales que se indican en cada caso:</w:t>
            </w:r>
          </w:p>
        </w:tc>
      </w:tr>
      <w:tr w:rsidR="001B28FB" w:rsidRPr="00143788" w:rsidTr="00757439">
        <w:trPr>
          <w:trHeight w:val="1041"/>
        </w:trPr>
        <w:tc>
          <w:tcPr>
            <w:tcW w:w="1485"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1B28FB">
            <w:pPr>
              <w:ind w:left="117" w:right="117"/>
              <w:rPr>
                <w:rFonts w:ascii="Verdana" w:hAnsi="Verdana"/>
                <w:color w:val="000000"/>
                <w:sz w:val="15"/>
                <w:szCs w:val="15"/>
                <w:lang w:val="es-ES"/>
              </w:rPr>
            </w:pPr>
            <w:r w:rsidRPr="00143788">
              <w:rPr>
                <w:rFonts w:ascii="Verdana" w:hAnsi="Verdana"/>
                <w:color w:val="000000"/>
                <w:sz w:val="15"/>
                <w:szCs w:val="15"/>
                <w:lang w:val="es-ES"/>
              </w:rPr>
              <w:t>Obligaciones anuales, mensuales, retenciones y percepciones impositivas</w:t>
            </w:r>
          </w:p>
        </w:tc>
        <w:tc>
          <w:tcPr>
            <w:tcW w:w="1134" w:type="dxa"/>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color w:val="000000"/>
                <w:sz w:val="15"/>
                <w:szCs w:val="15"/>
                <w:lang w:val="es-ES"/>
              </w:rPr>
              <w:t>48</w:t>
            </w:r>
          </w:p>
        </w:tc>
        <w:tc>
          <w:tcPr>
            <w:tcW w:w="3484" w:type="dxa"/>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color w:val="000000"/>
                <w:sz w:val="15"/>
                <w:szCs w:val="15"/>
                <w:lang w:val="es-ES"/>
              </w:rPr>
              <w:t>3%</w:t>
            </w:r>
          </w:p>
        </w:tc>
        <w:tc>
          <w:tcPr>
            <w:tcW w:w="2403" w:type="dxa"/>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1B28FB">
            <w:pPr>
              <w:ind w:left="117" w:right="117"/>
              <w:jc w:val="center"/>
              <w:rPr>
                <w:rFonts w:ascii="Verdana" w:hAnsi="Verdana"/>
                <w:color w:val="000000"/>
                <w:sz w:val="15"/>
                <w:szCs w:val="15"/>
                <w:lang w:val="es-ES"/>
              </w:rPr>
            </w:pPr>
            <w:r w:rsidRPr="00143788">
              <w:rPr>
                <w:rFonts w:ascii="Verdana" w:hAnsi="Verdana"/>
                <w:color w:val="000000"/>
                <w:sz w:val="15"/>
                <w:szCs w:val="15"/>
                <w:lang w:val="es-ES"/>
              </w:rPr>
              <w:t>4%</w:t>
            </w:r>
          </w:p>
        </w:tc>
      </w:tr>
      <w:tr w:rsidR="001B28FB" w:rsidRPr="00143788" w:rsidTr="00757439">
        <w:trPr>
          <w:trHeight w:val="705"/>
        </w:trPr>
        <w:tc>
          <w:tcPr>
            <w:tcW w:w="1485"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1B28FB" w:rsidRPr="00143788" w:rsidRDefault="001B28FB" w:rsidP="00757439">
            <w:pPr>
              <w:ind w:left="117" w:right="117"/>
              <w:rPr>
                <w:rFonts w:ascii="Verdana" w:hAnsi="Verdana"/>
                <w:color w:val="000000"/>
                <w:sz w:val="15"/>
                <w:szCs w:val="15"/>
                <w:lang w:val="es-ES"/>
              </w:rPr>
            </w:pPr>
            <w:r w:rsidRPr="00143788">
              <w:rPr>
                <w:rFonts w:ascii="Verdana" w:hAnsi="Verdana"/>
                <w:color w:val="000000"/>
                <w:sz w:val="15"/>
                <w:szCs w:val="15"/>
                <w:lang w:val="es-ES"/>
              </w:rPr>
              <w:t>Reformulación de planes vigentes </w:t>
            </w:r>
            <w:hyperlink r:id="rId12" w:tgtFrame="_blank" w:history="1">
              <w:r w:rsidR="00757439">
                <w:rPr>
                  <w:rFonts w:ascii="Verdana" w:hAnsi="Verdana"/>
                  <w:color w:val="0000FF"/>
                  <w:sz w:val="15"/>
                  <w:u w:val="single"/>
                  <w:lang w:val="es-ES"/>
                </w:rPr>
                <w:t>RG  3</w:t>
              </w:r>
              <w:r w:rsidRPr="00143788">
                <w:rPr>
                  <w:rFonts w:ascii="Verdana" w:hAnsi="Verdana"/>
                  <w:color w:val="0000FF"/>
                  <w:sz w:val="15"/>
                  <w:u w:val="single"/>
                  <w:lang w:val="es-ES"/>
                </w:rPr>
                <w:t>827</w:t>
              </w:r>
            </w:hyperlink>
            <w:r w:rsidRPr="00143788">
              <w:rPr>
                <w:rFonts w:ascii="Verdana" w:hAnsi="Verdana"/>
                <w:color w:val="000000"/>
                <w:sz w:val="15"/>
                <w:szCs w:val="15"/>
                <w:lang w:val="es-ES"/>
              </w:rPr>
              <w:t> y </w:t>
            </w:r>
            <w:hyperlink r:id="rId13" w:tgtFrame="_blank" w:history="1">
              <w:r w:rsidRPr="00143788">
                <w:rPr>
                  <w:rFonts w:ascii="Verdana" w:hAnsi="Verdana"/>
                  <w:color w:val="0000FF"/>
                  <w:sz w:val="15"/>
                  <w:u w:val="single"/>
                  <w:lang w:val="es-ES"/>
                </w:rPr>
                <w:t>4099</w:t>
              </w:r>
            </w:hyperlink>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3484" w:type="dxa"/>
            <w:vMerge/>
            <w:tcBorders>
              <w:top w:val="single" w:sz="6"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c>
          <w:tcPr>
            <w:tcW w:w="2403" w:type="dxa"/>
            <w:vMerge/>
            <w:tcBorders>
              <w:top w:val="single" w:sz="6" w:space="0" w:color="000000"/>
              <w:left w:val="single" w:sz="6" w:space="0" w:color="000000"/>
              <w:bottom w:val="single" w:sz="6" w:space="0" w:color="000000"/>
              <w:right w:val="single" w:sz="6" w:space="0" w:color="000000"/>
            </w:tcBorders>
            <w:vAlign w:val="center"/>
            <w:hideMark/>
          </w:tcPr>
          <w:p w:rsidR="001B28FB" w:rsidRPr="00143788" w:rsidRDefault="001B28FB" w:rsidP="001B28FB">
            <w:pPr>
              <w:rPr>
                <w:rFonts w:ascii="Verdana" w:hAnsi="Verdana"/>
                <w:color w:val="000000"/>
                <w:sz w:val="15"/>
                <w:szCs w:val="15"/>
                <w:lang w:val="es-ES"/>
              </w:rPr>
            </w:pPr>
          </w:p>
        </w:tc>
      </w:tr>
    </w:tbl>
    <w:p w:rsidR="00143788" w:rsidRPr="00143788" w:rsidRDefault="00143788" w:rsidP="00143788">
      <w:pPr>
        <w:spacing w:before="117" w:after="117"/>
        <w:ind w:left="117" w:right="117"/>
        <w:rPr>
          <w:color w:val="000000"/>
          <w:szCs w:val="24"/>
          <w:lang w:val="es-ES"/>
        </w:rPr>
      </w:pPr>
      <w:r w:rsidRPr="00143788">
        <w:rPr>
          <w:color w:val="000000"/>
          <w:szCs w:val="24"/>
          <w:lang w:val="es-ES"/>
        </w:rPr>
        <w:t> </w:t>
      </w:r>
    </w:p>
    <w:p w:rsidR="00D3742B" w:rsidRDefault="00143788" w:rsidP="00CC15E8">
      <w:pPr>
        <w:spacing w:before="117" w:after="117"/>
        <w:ind w:left="117" w:right="117"/>
        <w:rPr>
          <w:b/>
          <w:i/>
          <w:u w:val="single"/>
          <w:lang w:val="es-AR"/>
        </w:rPr>
      </w:pPr>
      <w:r w:rsidRPr="00143788">
        <w:rPr>
          <w:color w:val="000000"/>
          <w:szCs w:val="24"/>
          <w:lang w:val="es-ES"/>
        </w:rPr>
        <w:t> </w:t>
      </w:r>
    </w:p>
    <w:p w:rsidR="00D3742B" w:rsidRDefault="00D3742B" w:rsidP="00B14909">
      <w:pPr>
        <w:pStyle w:val="Textoindependiente"/>
        <w:widowControl w:val="0"/>
        <w:tabs>
          <w:tab w:val="left" w:pos="709"/>
        </w:tabs>
        <w:ind w:right="23"/>
        <w:rPr>
          <w:b/>
          <w:u w:val="single"/>
          <w:lang w:val="es-AR"/>
        </w:rPr>
      </w:pPr>
      <w:r>
        <w:rPr>
          <w:b/>
          <w:u w:val="single"/>
          <w:lang w:val="es-AR"/>
        </w:rPr>
        <w:t>Caducidad del plan</w:t>
      </w:r>
    </w:p>
    <w:p w:rsidR="00D3742B" w:rsidRDefault="00D3742B" w:rsidP="00D3742B">
      <w:pPr>
        <w:pStyle w:val="Textoindependiente"/>
        <w:widowControl w:val="0"/>
        <w:tabs>
          <w:tab w:val="left" w:pos="9356"/>
        </w:tabs>
        <w:ind w:right="23"/>
        <w:rPr>
          <w:lang w:val="es-AR"/>
        </w:rPr>
      </w:pPr>
    </w:p>
    <w:p w:rsidR="006C47D1" w:rsidRDefault="006C47D1" w:rsidP="00CC15E8">
      <w:pPr>
        <w:pStyle w:val="Textoindependiente"/>
        <w:tabs>
          <w:tab w:val="left" w:pos="709"/>
        </w:tabs>
        <w:ind w:right="-1"/>
      </w:pPr>
      <w:r>
        <w:t>La caducidad del plan de facilidades de pago, operará de pleno derecho y sin necesidad de que medie intervención alguna por parte de la AFIP, cuando se presente alguna de las siguientes causales:</w:t>
      </w:r>
    </w:p>
    <w:p w:rsidR="006C47D1" w:rsidRPr="002224D5" w:rsidRDefault="002224D5" w:rsidP="00CC15E8">
      <w:pPr>
        <w:pStyle w:val="Textoindependiente"/>
        <w:numPr>
          <w:ilvl w:val="0"/>
          <w:numId w:val="34"/>
        </w:numPr>
        <w:ind w:right="-1"/>
      </w:pPr>
      <w:r w:rsidRPr="002224D5">
        <w:t>Falta de cancelación de 2 cuotas, consecutivas o alternadas, a los 30 días corridos posteriores a la fecha de vencimiento de la segunda de ellas</w:t>
      </w:r>
      <w:r>
        <w:t>.</w:t>
      </w:r>
    </w:p>
    <w:p w:rsidR="002224D5" w:rsidRPr="002224D5" w:rsidRDefault="002224D5" w:rsidP="00CC15E8">
      <w:pPr>
        <w:pStyle w:val="Textoindependiente"/>
        <w:numPr>
          <w:ilvl w:val="0"/>
          <w:numId w:val="34"/>
        </w:numPr>
        <w:ind w:right="-1"/>
      </w:pPr>
      <w:r w:rsidRPr="002224D5">
        <w:t>Falta de ingreso de la cuota no cancelada, a los 30 días corridos contados desde la fecha de vencimiento de la ultima cuota del plan</w:t>
      </w:r>
      <w:r>
        <w:t>.</w:t>
      </w:r>
    </w:p>
    <w:p w:rsidR="006C47D1" w:rsidRPr="002224D5" w:rsidRDefault="006C47D1" w:rsidP="00CC15E8">
      <w:pPr>
        <w:pStyle w:val="Textoindependiente"/>
        <w:ind w:right="-1"/>
      </w:pPr>
    </w:p>
    <w:p w:rsidR="006C47D1" w:rsidRDefault="006C47D1" w:rsidP="00CC15E8">
      <w:pPr>
        <w:pStyle w:val="Textoindependiente"/>
        <w:ind w:right="-1"/>
      </w:pPr>
      <w:r>
        <w:lastRenderedPageBreak/>
        <w:t>Operada la caducidad, se pondrá en aviso al contribuyente mediante “E- ventanilla”. Afip quedara habilitado para disponer el inicio de las acciones judiciales tendientes al cobro mediante le emisión de la boleta de deuda.</w:t>
      </w:r>
    </w:p>
    <w:p w:rsidR="006C47D1" w:rsidRDefault="006C47D1" w:rsidP="00CC15E8">
      <w:pPr>
        <w:pStyle w:val="Textoindependiente"/>
        <w:ind w:right="-1"/>
      </w:pPr>
    </w:p>
    <w:p w:rsidR="006C47D1" w:rsidRDefault="006C47D1" w:rsidP="00CC15E8">
      <w:pPr>
        <w:pStyle w:val="Textoindependiente"/>
        <w:ind w:right="-1"/>
      </w:pPr>
      <w:r>
        <w:t>Los contribuyentes y/o responsables, una vez declarada la caducidad del plan de facilidades, deberán cancelar el saldo pendiente de deuda mediante depósito bancario o transferencia electrónica de fondos.</w:t>
      </w:r>
    </w:p>
    <w:p w:rsidR="006C47D1" w:rsidRDefault="006C47D1" w:rsidP="00CC15E8">
      <w:pPr>
        <w:pStyle w:val="Textoindependiente"/>
        <w:ind w:right="-1"/>
      </w:pPr>
    </w:p>
    <w:p w:rsidR="006C47D1" w:rsidRDefault="006C47D1" w:rsidP="00CC15E8">
      <w:pPr>
        <w:pStyle w:val="Textoindependiente"/>
        <w:ind w:right="-1"/>
      </w:pPr>
      <w:r>
        <w:t>El saldo adeudado deberá ser visualizado por los contribuyentes y/o responsables a través del servicio “Mis Facilidades”, accediendo al “Detalle”</w:t>
      </w:r>
      <w:r w:rsidR="00AB3503">
        <w:t xml:space="preserve"> el plan</w:t>
      </w:r>
      <w:r>
        <w:t>, opción “Impresiones”</w:t>
      </w:r>
    </w:p>
    <w:p w:rsidR="006C47D1" w:rsidRDefault="006C47D1" w:rsidP="006C47D1">
      <w:pPr>
        <w:pStyle w:val="Textoindependiente"/>
      </w:pPr>
    </w:p>
    <w:p w:rsidR="006C47D1" w:rsidRDefault="006C47D1" w:rsidP="006C47D1">
      <w:pPr>
        <w:pStyle w:val="Textoindependiente"/>
        <w:rPr>
          <w:u w:val="single"/>
        </w:rPr>
      </w:pPr>
    </w:p>
    <w:p w:rsidR="00AB3503" w:rsidRDefault="00AB3503" w:rsidP="006C47D1">
      <w:pPr>
        <w:pStyle w:val="Textoindependiente"/>
        <w:rPr>
          <w:u w:val="single"/>
        </w:rPr>
      </w:pPr>
    </w:p>
    <w:p w:rsidR="006C47D1" w:rsidRDefault="006C47D1" w:rsidP="00CC15E8">
      <w:pPr>
        <w:pStyle w:val="Textoindependiente"/>
        <w:tabs>
          <w:tab w:val="left" w:pos="8080"/>
          <w:tab w:val="left" w:pos="8504"/>
        </w:tabs>
        <w:ind w:right="-1"/>
        <w:rPr>
          <w:b/>
          <w:u w:val="single"/>
        </w:rPr>
      </w:pPr>
      <w:r w:rsidRPr="006C47D1">
        <w:rPr>
          <w:b/>
          <w:u w:val="single"/>
        </w:rPr>
        <w:t>Deudas en discusión administrativa, contencioso administrativa o judicial</w:t>
      </w:r>
      <w:r w:rsidR="00AB3503">
        <w:rPr>
          <w:b/>
          <w:u w:val="single"/>
        </w:rPr>
        <w:t>. Procedimiento aplicable.</w:t>
      </w:r>
    </w:p>
    <w:p w:rsidR="006C47D1" w:rsidRDefault="006C47D1" w:rsidP="00CC15E8">
      <w:pPr>
        <w:pStyle w:val="Textoindependiente"/>
        <w:tabs>
          <w:tab w:val="left" w:pos="8080"/>
          <w:tab w:val="left" w:pos="8504"/>
        </w:tabs>
        <w:ind w:right="-1"/>
        <w:rPr>
          <w:b/>
          <w:u w:val="single"/>
        </w:rPr>
      </w:pPr>
    </w:p>
    <w:p w:rsidR="006C47D1" w:rsidRDefault="006C47D1" w:rsidP="00AB3503">
      <w:pPr>
        <w:pStyle w:val="Textoindependiente"/>
        <w:tabs>
          <w:tab w:val="left" w:pos="8080"/>
          <w:tab w:val="left" w:pos="8504"/>
        </w:tabs>
        <w:ind w:right="-1"/>
      </w:pPr>
      <w:r>
        <w:t>En el caso de incluirse en el plan de facilidades de pago deudas en discusión administrativa, contencioso administrativa o judicial, los contribuyentes y/o responsables</w:t>
      </w:r>
      <w:r w:rsidR="00AB3503">
        <w:t xml:space="preserve">, </w:t>
      </w:r>
      <w:r>
        <w:t>con ante</w:t>
      </w:r>
      <w:r w:rsidR="00AB3503">
        <w:t xml:space="preserve">rioridad a la fecha de adhesión, </w:t>
      </w:r>
      <w:r>
        <w:t>deberán allanarse y/o desistir de toda acción y derecho, mediante la presentación del formulario de declaración jurada 408 (nuevo modelo) en la dependencia de la AFIP en la que se encuentren inscriptos</w:t>
      </w:r>
      <w:r w:rsidR="00AB3503">
        <w:t>.</w:t>
      </w:r>
    </w:p>
    <w:p w:rsidR="00725F46" w:rsidRDefault="00725F46" w:rsidP="00CC15E8">
      <w:pPr>
        <w:pStyle w:val="Textoindependiente"/>
        <w:tabs>
          <w:tab w:val="left" w:pos="8080"/>
          <w:tab w:val="left" w:pos="8504"/>
        </w:tabs>
        <w:ind w:left="426" w:right="-1"/>
      </w:pPr>
    </w:p>
    <w:p w:rsidR="00AB3503" w:rsidRPr="00510E15" w:rsidRDefault="00AB3503" w:rsidP="00AB3503">
      <w:pPr>
        <w:pStyle w:val="Textoindependiente"/>
        <w:widowControl w:val="0"/>
        <w:tabs>
          <w:tab w:val="left" w:pos="9356"/>
        </w:tabs>
        <w:ind w:right="23"/>
        <w:rPr>
          <w:lang w:val="es-AR"/>
        </w:rPr>
      </w:pPr>
      <w:r w:rsidRPr="00510E15">
        <w:rPr>
          <w:lang w:val="es-AR"/>
        </w:rPr>
        <w:t>La cancelación de los honorarios devengados en ejecuciones fiscales o en juicios en los cuales se discutan deudas incluidas en un plan de de facilidades de pago del presente régimen, podrá efectuarse en cuotas, que no podrán exceder de doce (12), no devengarán intereses y su importe mínimo será de PESOS QUINIENTOS ($500.-).</w:t>
      </w:r>
    </w:p>
    <w:p w:rsidR="006C47D1" w:rsidRDefault="006C47D1" w:rsidP="00CC15E8">
      <w:pPr>
        <w:pStyle w:val="Textoindependiente"/>
        <w:tabs>
          <w:tab w:val="left" w:pos="8080"/>
          <w:tab w:val="left" w:pos="8504"/>
        </w:tabs>
        <w:ind w:right="-1"/>
      </w:pPr>
    </w:p>
    <w:p w:rsidR="006C47D1" w:rsidRDefault="006C47D1" w:rsidP="00CC15E8">
      <w:pPr>
        <w:pStyle w:val="Textoindependiente"/>
        <w:tabs>
          <w:tab w:val="left" w:pos="8080"/>
          <w:tab w:val="left" w:pos="8504"/>
        </w:tabs>
        <w:ind w:left="1304" w:right="-1"/>
      </w:pPr>
    </w:p>
    <w:p w:rsidR="006C47D1" w:rsidRDefault="003A3111" w:rsidP="00CC15E8">
      <w:pPr>
        <w:pStyle w:val="Textoindependiente"/>
        <w:tabs>
          <w:tab w:val="left" w:pos="8080"/>
          <w:tab w:val="left" w:pos="8504"/>
        </w:tabs>
        <w:ind w:left="142" w:right="-1"/>
      </w:pPr>
      <w:r w:rsidRPr="003A3111">
        <w:t xml:space="preserve"> </w:t>
      </w:r>
    </w:p>
    <w:p w:rsidR="00D105CD" w:rsidRDefault="00D105CD" w:rsidP="00CC15E8">
      <w:pPr>
        <w:pStyle w:val="Textoindependiente"/>
        <w:tabs>
          <w:tab w:val="left" w:pos="8080"/>
          <w:tab w:val="left" w:pos="8504"/>
        </w:tabs>
        <w:ind w:right="-1"/>
        <w:rPr>
          <w:b/>
          <w:u w:val="single"/>
        </w:rPr>
      </w:pPr>
      <w:r w:rsidRPr="00D105CD">
        <w:rPr>
          <w:b/>
          <w:u w:val="single"/>
        </w:rPr>
        <w:t>Reformulación de planes de facilidades de pago vigentes</w:t>
      </w:r>
    </w:p>
    <w:p w:rsidR="00D105CD" w:rsidRDefault="00D105CD" w:rsidP="00CC15E8">
      <w:pPr>
        <w:pStyle w:val="Textoindependiente"/>
        <w:tabs>
          <w:tab w:val="left" w:pos="8080"/>
          <w:tab w:val="left" w:pos="8504"/>
        </w:tabs>
        <w:ind w:right="-1"/>
        <w:rPr>
          <w:b/>
          <w:u w:val="single"/>
        </w:rPr>
      </w:pPr>
    </w:p>
    <w:p w:rsidR="00D105CD" w:rsidRDefault="00D105CD" w:rsidP="00CC15E8">
      <w:pPr>
        <w:pStyle w:val="Textoindependiente"/>
        <w:tabs>
          <w:tab w:val="left" w:pos="8080"/>
          <w:tab w:val="left" w:pos="8504"/>
        </w:tabs>
        <w:ind w:right="-1"/>
      </w:pPr>
      <w:r>
        <w:t xml:space="preserve">Los planes de facilidades vigentes implementados por las resoluciones generales 3827 y 4099, que hubieran sido consolidados hasta el 30 de junio de 2018, inclusive, podrán ser reformulados de acuerdo a las siguientes </w:t>
      </w:r>
      <w:r w:rsidR="00757439">
        <w:t>condiciones</w:t>
      </w:r>
      <w:r>
        <w:t>:</w:t>
      </w:r>
    </w:p>
    <w:p w:rsidR="00D105CD" w:rsidRDefault="00D105CD" w:rsidP="00CC15E8">
      <w:pPr>
        <w:pStyle w:val="Textoindependiente"/>
        <w:tabs>
          <w:tab w:val="left" w:pos="8080"/>
          <w:tab w:val="left" w:pos="8504"/>
        </w:tabs>
        <w:ind w:right="-1"/>
      </w:pPr>
    </w:p>
    <w:p w:rsidR="00D105CD" w:rsidRDefault="00D105CD" w:rsidP="00CC15E8">
      <w:pPr>
        <w:pStyle w:val="Textoindependiente"/>
        <w:numPr>
          <w:ilvl w:val="0"/>
          <w:numId w:val="35"/>
        </w:numPr>
        <w:tabs>
          <w:tab w:val="left" w:pos="8080"/>
          <w:tab w:val="left" w:pos="8504"/>
        </w:tabs>
        <w:ind w:right="-1"/>
      </w:pPr>
      <w:r>
        <w:t xml:space="preserve">La reformulación de cada plan se </w:t>
      </w:r>
      <w:r w:rsidR="00757439">
        <w:t>efectuará</w:t>
      </w:r>
      <w:r>
        <w:t xml:space="preserve"> a través de “Mis Facilidades” opción “Reformulación de planes vigentes de las RG 3827 y 4099”. La misma será optativa y podrá decidir el responsable cuales de sus planes vigentes reformula.</w:t>
      </w:r>
    </w:p>
    <w:p w:rsidR="00D105CD" w:rsidRDefault="00D105CD" w:rsidP="00CC15E8">
      <w:pPr>
        <w:pStyle w:val="Textoindependiente"/>
        <w:numPr>
          <w:ilvl w:val="0"/>
          <w:numId w:val="35"/>
        </w:numPr>
        <w:tabs>
          <w:tab w:val="left" w:pos="8080"/>
          <w:tab w:val="left" w:pos="8504"/>
        </w:tabs>
        <w:ind w:right="-1"/>
      </w:pPr>
      <w:r>
        <w:t>Se considerar</w:t>
      </w:r>
      <w:r w:rsidR="00757439">
        <w:t>á respecto de los planes que se reformulan,</w:t>
      </w:r>
      <w:r>
        <w:t xml:space="preserve"> la totalidad de las cuotas canceladas hasta el ultimo día del mes inmediato anterior al que se efectúa la reformulación, como ingresadas a la fecha de consolidación del plan original.</w:t>
      </w:r>
    </w:p>
    <w:p w:rsidR="00D105CD" w:rsidRDefault="00D105CD" w:rsidP="00CC15E8">
      <w:pPr>
        <w:pStyle w:val="Textoindependiente"/>
        <w:numPr>
          <w:ilvl w:val="0"/>
          <w:numId w:val="35"/>
        </w:numPr>
        <w:tabs>
          <w:tab w:val="left" w:pos="8080"/>
          <w:tab w:val="left" w:pos="8504"/>
        </w:tabs>
        <w:ind w:right="-1"/>
      </w:pPr>
      <w:r>
        <w:t>Se generar</w:t>
      </w:r>
      <w:r w:rsidR="00757439">
        <w:t>á</w:t>
      </w:r>
      <w:r>
        <w:t xml:space="preserve"> un nuevo plan con las condiciones dispuestas en la presente </w:t>
      </w:r>
      <w:r w:rsidR="00757439">
        <w:t>r</w:t>
      </w:r>
      <w:r w:rsidR="009B3327">
        <w:t>esolución</w:t>
      </w:r>
      <w:r w:rsidR="00757439">
        <w:t>.</w:t>
      </w:r>
      <w:r w:rsidR="009B3327">
        <w:t xml:space="preserve"> </w:t>
      </w:r>
      <w:r w:rsidR="00757439">
        <w:t>L</w:t>
      </w:r>
      <w:r w:rsidR="009B3327">
        <w:t>a deuda se consolidará a la fecha de cancelación del Volante Electrónico de Pago (VEP) correspondiente al pago a cuenta.</w:t>
      </w:r>
    </w:p>
    <w:p w:rsidR="009B3327" w:rsidRDefault="009B3327" w:rsidP="00CC15E8">
      <w:pPr>
        <w:pStyle w:val="Textoindependiente"/>
        <w:numPr>
          <w:ilvl w:val="0"/>
          <w:numId w:val="35"/>
        </w:numPr>
        <w:tabs>
          <w:tab w:val="left" w:pos="8080"/>
          <w:tab w:val="left" w:pos="8504"/>
        </w:tabs>
        <w:ind w:right="-1"/>
      </w:pPr>
      <w:r>
        <w:t>Se seleccionar</w:t>
      </w:r>
      <w:r w:rsidR="00757439">
        <w:t>á</w:t>
      </w:r>
      <w:r>
        <w:t xml:space="preserve"> la Clave Bancaria Uniforme (CBU) a utilizar</w:t>
      </w:r>
    </w:p>
    <w:p w:rsidR="00735D3C" w:rsidRPr="00757439" w:rsidRDefault="009B3327" w:rsidP="00CC15E8">
      <w:pPr>
        <w:pStyle w:val="Textoindependiente"/>
        <w:numPr>
          <w:ilvl w:val="0"/>
          <w:numId w:val="35"/>
        </w:numPr>
        <w:tabs>
          <w:tab w:val="left" w:pos="8080"/>
          <w:tab w:val="left" w:pos="8504"/>
        </w:tabs>
        <w:ind w:right="-1"/>
      </w:pPr>
      <w:r w:rsidRPr="009B3327">
        <w:rPr>
          <w:lang w:val="es-AR"/>
        </w:rPr>
        <w:t>Se imprimirá el formulario de declaración jurada Nº 1003 junto con el acuse de recibo de la presentación realizada</w:t>
      </w:r>
      <w:r>
        <w:rPr>
          <w:lang w:val="es-AR"/>
        </w:rPr>
        <w:t>, una vez reformulado el plan y producido su envío automático.</w:t>
      </w:r>
    </w:p>
    <w:p w:rsidR="00757439" w:rsidRPr="00757439" w:rsidRDefault="00757439" w:rsidP="00757439">
      <w:pPr>
        <w:pStyle w:val="Textoindependiente"/>
        <w:tabs>
          <w:tab w:val="left" w:pos="8080"/>
          <w:tab w:val="left" w:pos="8504"/>
        </w:tabs>
        <w:ind w:right="-1"/>
        <w:rPr>
          <w:lang w:val="es-AR"/>
        </w:rPr>
      </w:pPr>
      <w:r w:rsidRPr="00757439">
        <w:rPr>
          <w:lang w:val="es-AR"/>
        </w:rPr>
        <w:lastRenderedPageBreak/>
        <w:t>En consecuencia, el contribuyente deberá solicitar a la entidad bancaria la suspensión del o de los débitos que estuvieran programados para el mes en que se solicite la reformulación del plan o la reversión, dentro de los 30 días corridos de efectuado el débito.</w:t>
      </w:r>
    </w:p>
    <w:p w:rsidR="00757439" w:rsidRDefault="00757439" w:rsidP="00AB3503">
      <w:pPr>
        <w:pStyle w:val="Textoindependiente"/>
        <w:tabs>
          <w:tab w:val="left" w:pos="8080"/>
          <w:tab w:val="left" w:pos="8504"/>
        </w:tabs>
        <w:ind w:right="-1"/>
        <w:rPr>
          <w:b/>
          <w:u w:val="single"/>
        </w:rPr>
      </w:pPr>
    </w:p>
    <w:p w:rsidR="00757439" w:rsidRDefault="00757439" w:rsidP="00AB3503">
      <w:pPr>
        <w:pStyle w:val="Textoindependiente"/>
        <w:tabs>
          <w:tab w:val="left" w:pos="8080"/>
          <w:tab w:val="left" w:pos="8504"/>
        </w:tabs>
        <w:ind w:right="-1"/>
        <w:rPr>
          <w:b/>
          <w:u w:val="single"/>
        </w:rPr>
      </w:pPr>
    </w:p>
    <w:p w:rsidR="00757439" w:rsidRDefault="00757439" w:rsidP="00AB3503">
      <w:pPr>
        <w:pStyle w:val="Textoindependiente"/>
        <w:tabs>
          <w:tab w:val="left" w:pos="8080"/>
          <w:tab w:val="left" w:pos="8504"/>
        </w:tabs>
        <w:ind w:right="-1"/>
        <w:rPr>
          <w:b/>
          <w:u w:val="single"/>
        </w:rPr>
      </w:pPr>
    </w:p>
    <w:p w:rsidR="009B3327" w:rsidRDefault="00AB3503" w:rsidP="00AB3503">
      <w:pPr>
        <w:pStyle w:val="Textoindependiente"/>
        <w:tabs>
          <w:tab w:val="left" w:pos="8080"/>
          <w:tab w:val="left" w:pos="8504"/>
        </w:tabs>
        <w:ind w:right="-1"/>
        <w:rPr>
          <w:b/>
          <w:u w:val="single"/>
        </w:rPr>
      </w:pPr>
      <w:r>
        <w:rPr>
          <w:b/>
          <w:u w:val="single"/>
        </w:rPr>
        <w:t xml:space="preserve">Vigencia </w:t>
      </w:r>
    </w:p>
    <w:p w:rsidR="00AB3503" w:rsidRDefault="00AB3503" w:rsidP="00AB3503">
      <w:pPr>
        <w:pStyle w:val="Textoindependiente"/>
        <w:tabs>
          <w:tab w:val="left" w:pos="8080"/>
          <w:tab w:val="left" w:pos="8504"/>
        </w:tabs>
        <w:ind w:right="-1"/>
        <w:rPr>
          <w:b/>
          <w:u w:val="single"/>
        </w:rPr>
      </w:pPr>
    </w:p>
    <w:p w:rsidR="00AB3503" w:rsidRPr="002C6500" w:rsidRDefault="00AB3503" w:rsidP="00AB3503">
      <w:pPr>
        <w:pStyle w:val="Textoindependiente"/>
        <w:widowControl w:val="0"/>
        <w:tabs>
          <w:tab w:val="left" w:pos="9356"/>
        </w:tabs>
        <w:ind w:right="23"/>
        <w:rPr>
          <w:lang w:val="es-AR"/>
        </w:rPr>
      </w:pPr>
      <w:r w:rsidRPr="00502D43">
        <w:rPr>
          <w:lang w:val="es-AR"/>
        </w:rPr>
        <w:t>La presente resolución se</w:t>
      </w:r>
      <w:r>
        <w:rPr>
          <w:lang w:val="es-AR"/>
        </w:rPr>
        <w:t xml:space="preserve">rá de </w:t>
      </w:r>
      <w:r w:rsidRPr="002C6500">
        <w:rPr>
          <w:lang w:val="es-AR"/>
        </w:rPr>
        <w:t xml:space="preserve">aplicación </w:t>
      </w:r>
      <w:r w:rsidRPr="002C6500">
        <w:rPr>
          <w:b/>
          <w:lang w:val="es-AR"/>
        </w:rPr>
        <w:t>a partir del 0</w:t>
      </w:r>
      <w:r w:rsidR="002C6500" w:rsidRPr="002C6500">
        <w:rPr>
          <w:b/>
          <w:lang w:val="es-AR"/>
        </w:rPr>
        <w:t>6</w:t>
      </w:r>
      <w:r w:rsidRPr="002C6500">
        <w:rPr>
          <w:b/>
          <w:lang w:val="es-AR"/>
        </w:rPr>
        <w:t xml:space="preserve"> de Agosto de 2018</w:t>
      </w:r>
      <w:r w:rsidR="002C6500" w:rsidRPr="002C6500">
        <w:rPr>
          <w:b/>
          <w:lang w:val="es-AR"/>
        </w:rPr>
        <w:t xml:space="preserve"> hasta el 31 de Octubre de 2018</w:t>
      </w:r>
      <w:r w:rsidR="002C6500" w:rsidRPr="002C6500">
        <w:rPr>
          <w:lang w:val="es-AR"/>
        </w:rPr>
        <w:t>, ambos inclusive.</w:t>
      </w:r>
    </w:p>
    <w:p w:rsidR="00AB3503" w:rsidRDefault="00AB3503" w:rsidP="00AB3503">
      <w:pPr>
        <w:pStyle w:val="Textoindependiente"/>
        <w:widowControl w:val="0"/>
        <w:tabs>
          <w:tab w:val="left" w:pos="9356"/>
        </w:tabs>
        <w:ind w:right="23"/>
        <w:rPr>
          <w:lang w:val="es-AR"/>
        </w:rPr>
      </w:pPr>
    </w:p>
    <w:p w:rsidR="00AB3503" w:rsidRDefault="00AB3503" w:rsidP="00AB3503">
      <w:pPr>
        <w:pStyle w:val="Textoindependiente"/>
        <w:widowControl w:val="0"/>
        <w:tabs>
          <w:tab w:val="left" w:pos="9356"/>
        </w:tabs>
        <w:ind w:right="23"/>
        <w:rPr>
          <w:lang w:val="es-AR"/>
        </w:rPr>
      </w:pPr>
    </w:p>
    <w:p w:rsidR="00AB3503" w:rsidRDefault="00AB3503" w:rsidP="00AB3503">
      <w:pPr>
        <w:pStyle w:val="Textoindependiente"/>
        <w:widowControl w:val="0"/>
        <w:tabs>
          <w:tab w:val="left" w:pos="9356"/>
        </w:tabs>
        <w:ind w:right="23"/>
        <w:rPr>
          <w:lang w:val="es-AR"/>
        </w:rPr>
      </w:pPr>
    </w:p>
    <w:p w:rsidR="00AB3503" w:rsidRDefault="00AB3503" w:rsidP="00AB3503">
      <w:pPr>
        <w:pStyle w:val="Textoindependiente"/>
        <w:widowControl w:val="0"/>
        <w:tabs>
          <w:tab w:val="left" w:pos="9356"/>
        </w:tabs>
        <w:ind w:right="23"/>
        <w:rPr>
          <w:lang w:val="es-AR"/>
        </w:rPr>
      </w:pPr>
    </w:p>
    <w:p w:rsidR="00AB3503" w:rsidRPr="00AB3503" w:rsidRDefault="00AB3503" w:rsidP="00AB3503">
      <w:pPr>
        <w:pStyle w:val="Textoindependiente"/>
        <w:widowControl w:val="0"/>
        <w:tabs>
          <w:tab w:val="left" w:pos="9356"/>
        </w:tabs>
        <w:ind w:right="23"/>
        <w:rPr>
          <w:lang w:val="es-AR"/>
        </w:rPr>
      </w:pPr>
      <w:r>
        <w:rPr>
          <w:lang w:val="es-AR"/>
        </w:rPr>
        <w:t>Buenos Aires, 23 de Agosto de 2018.</w:t>
      </w:r>
    </w:p>
    <w:sectPr w:rsidR="00AB3503" w:rsidRPr="00AB3503" w:rsidSect="009724B5">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442" w:rsidRDefault="00E02442" w:rsidP="00735D3C">
      <w:r>
        <w:separator/>
      </w:r>
    </w:p>
  </w:endnote>
  <w:endnote w:type="continuationSeparator" w:id="1">
    <w:p w:rsidR="00E02442" w:rsidRDefault="00E02442"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tsaah">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442" w:rsidRDefault="00E02442" w:rsidP="00735D3C">
      <w:r>
        <w:separator/>
      </w:r>
    </w:p>
  </w:footnote>
  <w:footnote w:type="continuationSeparator" w:id="1">
    <w:p w:rsidR="00E02442" w:rsidRDefault="00E02442"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42" w:rsidRDefault="00E02442" w:rsidP="00362E15">
    <w:pPr>
      <w:pStyle w:val="Encabezado"/>
      <w:pBdr>
        <w:bottom w:val="single" w:sz="12" w:space="1" w:color="000080"/>
      </w:pBdr>
      <w:jc w:val="right"/>
      <w:rPr>
        <w:b/>
        <w:color w:val="000080"/>
      </w:rPr>
    </w:pPr>
    <w:r>
      <w:rPr>
        <w:b/>
        <w:color w:val="000080"/>
      </w:rPr>
      <w:t>FABETTI, BERTANI &amp; ASOCIADOS</w:t>
    </w:r>
  </w:p>
  <w:p w:rsidR="00E02442" w:rsidRDefault="00E024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nsid w:val="1319687C"/>
    <w:multiLevelType w:val="hybridMultilevel"/>
    <w:tmpl w:val="5DBA32D4"/>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34F70B3"/>
    <w:multiLevelType w:val="hybridMultilevel"/>
    <w:tmpl w:val="97C6F49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8">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9">
    <w:nsid w:val="16D47267"/>
    <w:multiLevelType w:val="hybridMultilevel"/>
    <w:tmpl w:val="ABAC7820"/>
    <w:lvl w:ilvl="0" w:tplc="0C0A0017">
      <w:start w:val="1"/>
      <w:numFmt w:val="lowerLetter"/>
      <w:lvlText w:val="%1)"/>
      <w:lvlJc w:val="left"/>
      <w:pPr>
        <w:tabs>
          <w:tab w:val="num" w:pos="644"/>
        </w:tabs>
        <w:ind w:left="644" w:hanging="360"/>
      </w:p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1">
    <w:nsid w:val="23982F0F"/>
    <w:multiLevelType w:val="hybridMultilevel"/>
    <w:tmpl w:val="30826192"/>
    <w:lvl w:ilvl="0" w:tplc="0C0A0017">
      <w:start w:val="1"/>
      <w:numFmt w:val="lowerLetter"/>
      <w:lvlText w:val="%1)"/>
      <w:lvlJc w:val="left"/>
      <w:pPr>
        <w:ind w:left="1637"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3">
    <w:nsid w:val="25AF73EE"/>
    <w:multiLevelType w:val="hybridMultilevel"/>
    <w:tmpl w:val="8D5EDF2A"/>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6">
    <w:nsid w:val="27E64EF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7">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D21199C"/>
    <w:multiLevelType w:val="hybridMultilevel"/>
    <w:tmpl w:val="3D14B6AA"/>
    <w:lvl w:ilvl="0" w:tplc="0C0A000F">
      <w:start w:val="1"/>
      <w:numFmt w:val="decimal"/>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0">
    <w:nsid w:val="310706F7"/>
    <w:multiLevelType w:val="hybridMultilevel"/>
    <w:tmpl w:val="E08E6620"/>
    <w:lvl w:ilvl="0" w:tplc="0C0A0017">
      <w:start w:val="1"/>
      <w:numFmt w:val="lowerLetter"/>
      <w:lvlText w:val="%1)"/>
      <w:lvlJc w:val="left"/>
      <w:pPr>
        <w:ind w:left="360" w:hanging="360"/>
      </w:pPr>
    </w:lvl>
    <w:lvl w:ilvl="1" w:tplc="0C0A0019" w:tentative="1">
      <w:start w:val="1"/>
      <w:numFmt w:val="lowerLetter"/>
      <w:lvlText w:val="%2."/>
      <w:lvlJc w:val="left"/>
      <w:pPr>
        <w:ind w:left="955" w:hanging="360"/>
      </w:pPr>
    </w:lvl>
    <w:lvl w:ilvl="2" w:tplc="0C0A001B" w:tentative="1">
      <w:start w:val="1"/>
      <w:numFmt w:val="lowerRoman"/>
      <w:lvlText w:val="%3."/>
      <w:lvlJc w:val="right"/>
      <w:pPr>
        <w:ind w:left="1675" w:hanging="180"/>
      </w:pPr>
    </w:lvl>
    <w:lvl w:ilvl="3" w:tplc="0C0A000F" w:tentative="1">
      <w:start w:val="1"/>
      <w:numFmt w:val="decimal"/>
      <w:lvlText w:val="%4."/>
      <w:lvlJc w:val="left"/>
      <w:pPr>
        <w:ind w:left="2395" w:hanging="360"/>
      </w:pPr>
    </w:lvl>
    <w:lvl w:ilvl="4" w:tplc="0C0A0019" w:tentative="1">
      <w:start w:val="1"/>
      <w:numFmt w:val="lowerLetter"/>
      <w:lvlText w:val="%5."/>
      <w:lvlJc w:val="left"/>
      <w:pPr>
        <w:ind w:left="3115" w:hanging="360"/>
      </w:pPr>
    </w:lvl>
    <w:lvl w:ilvl="5" w:tplc="0C0A001B" w:tentative="1">
      <w:start w:val="1"/>
      <w:numFmt w:val="lowerRoman"/>
      <w:lvlText w:val="%6."/>
      <w:lvlJc w:val="right"/>
      <w:pPr>
        <w:ind w:left="3835" w:hanging="180"/>
      </w:pPr>
    </w:lvl>
    <w:lvl w:ilvl="6" w:tplc="0C0A000F" w:tentative="1">
      <w:start w:val="1"/>
      <w:numFmt w:val="decimal"/>
      <w:lvlText w:val="%7."/>
      <w:lvlJc w:val="left"/>
      <w:pPr>
        <w:ind w:left="4555" w:hanging="360"/>
      </w:pPr>
    </w:lvl>
    <w:lvl w:ilvl="7" w:tplc="0C0A0019" w:tentative="1">
      <w:start w:val="1"/>
      <w:numFmt w:val="lowerLetter"/>
      <w:lvlText w:val="%8."/>
      <w:lvlJc w:val="left"/>
      <w:pPr>
        <w:ind w:left="5275" w:hanging="360"/>
      </w:pPr>
    </w:lvl>
    <w:lvl w:ilvl="8" w:tplc="0C0A001B" w:tentative="1">
      <w:start w:val="1"/>
      <w:numFmt w:val="lowerRoman"/>
      <w:lvlText w:val="%9."/>
      <w:lvlJc w:val="right"/>
      <w:pPr>
        <w:ind w:left="5995" w:hanging="180"/>
      </w:pPr>
    </w:lvl>
  </w:abstractNum>
  <w:abstractNum w:abstractNumId="21">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37253A66"/>
    <w:multiLevelType w:val="hybridMultilevel"/>
    <w:tmpl w:val="62A6D230"/>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3">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4">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5">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7">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44BE60B6"/>
    <w:multiLevelType w:val="hybridMultilevel"/>
    <w:tmpl w:val="8D300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7455C91"/>
    <w:multiLevelType w:val="hybridMultilevel"/>
    <w:tmpl w:val="E74E1A4C"/>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4B17075A"/>
    <w:multiLevelType w:val="hybridMultilevel"/>
    <w:tmpl w:val="703A013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4BA71797"/>
    <w:multiLevelType w:val="hybridMultilevel"/>
    <w:tmpl w:val="705034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33">
    <w:nsid w:val="57B92E72"/>
    <w:multiLevelType w:val="hybridMultilevel"/>
    <w:tmpl w:val="A0FA0FFC"/>
    <w:lvl w:ilvl="0" w:tplc="0C0A0009">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34">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5">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7">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8">
    <w:nsid w:val="668F3A22"/>
    <w:multiLevelType w:val="hybridMultilevel"/>
    <w:tmpl w:val="BACA68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40">
    <w:nsid w:val="66FE5A9F"/>
    <w:multiLevelType w:val="hybridMultilevel"/>
    <w:tmpl w:val="DD627F22"/>
    <w:lvl w:ilvl="0" w:tplc="0C0A000F">
      <w:start w:val="1"/>
      <w:numFmt w:val="decimal"/>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nsid w:val="68497D2B"/>
    <w:multiLevelType w:val="hybridMultilevel"/>
    <w:tmpl w:val="2D00B8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B237ADD"/>
    <w:multiLevelType w:val="hybridMultilevel"/>
    <w:tmpl w:val="AE1ABA52"/>
    <w:lvl w:ilvl="0" w:tplc="0C0A000F">
      <w:start w:val="1"/>
      <w:numFmt w:val="decimal"/>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nsid w:val="6C9B38F1"/>
    <w:multiLevelType w:val="hybridMultilevel"/>
    <w:tmpl w:val="EAB23810"/>
    <w:lvl w:ilvl="0" w:tplc="0C0A0017">
      <w:start w:val="1"/>
      <w:numFmt w:val="lowerLetter"/>
      <w:lvlText w:val="%1)"/>
      <w:lvlJc w:val="left"/>
      <w:pPr>
        <w:ind w:left="720" w:hanging="360"/>
      </w:pPr>
      <w:rPr>
        <w:rFonts w:hint="default"/>
        <w:b w:val="0"/>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FE33F3"/>
    <w:multiLevelType w:val="hybridMultilevel"/>
    <w:tmpl w:val="42A2B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60E58EF"/>
    <w:multiLevelType w:val="hybridMultilevel"/>
    <w:tmpl w:val="9680103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7"/>
  </w:num>
  <w:num w:numId="4">
    <w:abstractNumId w:val="4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35"/>
  </w:num>
  <w:num w:numId="9">
    <w:abstractNumId w:val="8"/>
  </w:num>
  <w:num w:numId="10">
    <w:abstractNumId w:val="18"/>
  </w:num>
  <w:num w:numId="11">
    <w:abstractNumId w:val="12"/>
  </w:num>
  <w:num w:numId="12">
    <w:abstractNumId w:val="22"/>
  </w:num>
  <w:num w:numId="13">
    <w:abstractNumId w:val="23"/>
  </w:num>
  <w:num w:numId="14">
    <w:abstractNumId w:val="36"/>
  </w:num>
  <w:num w:numId="15">
    <w:abstractNumId w:val="32"/>
  </w:num>
  <w:num w:numId="16">
    <w:abstractNumId w:val="34"/>
  </w:num>
  <w:num w:numId="17">
    <w:abstractNumId w:val="24"/>
  </w:num>
  <w:num w:numId="18">
    <w:abstractNumId w:val="37"/>
  </w:num>
  <w:num w:numId="19">
    <w:abstractNumId w:val="10"/>
  </w:num>
  <w:num w:numId="20">
    <w:abstractNumId w:val="0"/>
  </w:num>
  <w:num w:numId="21">
    <w:abstractNumId w:val="4"/>
  </w:num>
  <w:num w:numId="22">
    <w:abstractNumId w:val="20"/>
  </w:num>
  <w:num w:numId="23">
    <w:abstractNumId w:val="1"/>
  </w:num>
  <w:num w:numId="24">
    <w:abstractNumId w:val="7"/>
  </w:num>
  <w:num w:numId="25">
    <w:abstractNumId w:val="39"/>
  </w:num>
  <w:num w:numId="26">
    <w:abstractNumId w:val="26"/>
  </w:num>
  <w:num w:numId="27">
    <w:abstractNumId w:val="45"/>
  </w:num>
  <w:num w:numId="28">
    <w:abstractNumId w:val="2"/>
  </w:num>
  <w:num w:numId="29">
    <w:abstractNumId w:val="15"/>
  </w:num>
  <w:num w:numId="30">
    <w:abstractNumId w:val="3"/>
  </w:num>
  <w:num w:numId="31">
    <w:abstractNumId w:val="31"/>
  </w:num>
  <w:num w:numId="32">
    <w:abstractNumId w:val="43"/>
  </w:num>
  <w:num w:numId="33">
    <w:abstractNumId w:val="41"/>
  </w:num>
  <w:num w:numId="34">
    <w:abstractNumId w:val="28"/>
  </w:num>
  <w:num w:numId="35">
    <w:abstractNumId w:val="44"/>
  </w:num>
  <w:num w:numId="36">
    <w:abstractNumId w:val="42"/>
  </w:num>
  <w:num w:numId="37">
    <w:abstractNumId w:val="29"/>
  </w:num>
  <w:num w:numId="38">
    <w:abstractNumId w:val="13"/>
  </w:num>
  <w:num w:numId="39">
    <w:abstractNumId w:val="30"/>
  </w:num>
  <w:num w:numId="40">
    <w:abstractNumId w:val="5"/>
  </w:num>
  <w:num w:numId="41">
    <w:abstractNumId w:val="38"/>
  </w:num>
  <w:num w:numId="42">
    <w:abstractNumId w:val="19"/>
  </w:num>
  <w:num w:numId="43">
    <w:abstractNumId w:val="6"/>
  </w:num>
  <w:num w:numId="44">
    <w:abstractNumId w:val="11"/>
  </w:num>
  <w:num w:numId="45">
    <w:abstractNumId w:val="16"/>
  </w:num>
  <w:num w:numId="46">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35F54"/>
    <w:rsid w:val="00143788"/>
    <w:rsid w:val="001B28FB"/>
    <w:rsid w:val="002224D5"/>
    <w:rsid w:val="00233DE8"/>
    <w:rsid w:val="002C6500"/>
    <w:rsid w:val="00362E15"/>
    <w:rsid w:val="00377A0E"/>
    <w:rsid w:val="00397996"/>
    <w:rsid w:val="003A3111"/>
    <w:rsid w:val="0046637C"/>
    <w:rsid w:val="004A0634"/>
    <w:rsid w:val="00516152"/>
    <w:rsid w:val="00552F23"/>
    <w:rsid w:val="005B7CAC"/>
    <w:rsid w:val="00650289"/>
    <w:rsid w:val="00652EAD"/>
    <w:rsid w:val="006C47D1"/>
    <w:rsid w:val="00714BE5"/>
    <w:rsid w:val="00725F46"/>
    <w:rsid w:val="00735D3C"/>
    <w:rsid w:val="00756AD4"/>
    <w:rsid w:val="00757439"/>
    <w:rsid w:val="0078205D"/>
    <w:rsid w:val="007C03CD"/>
    <w:rsid w:val="007D21E7"/>
    <w:rsid w:val="007E2EE1"/>
    <w:rsid w:val="008110EC"/>
    <w:rsid w:val="0086096A"/>
    <w:rsid w:val="00880D84"/>
    <w:rsid w:val="00881887"/>
    <w:rsid w:val="00892CE3"/>
    <w:rsid w:val="008D3CC4"/>
    <w:rsid w:val="008F2287"/>
    <w:rsid w:val="0092675E"/>
    <w:rsid w:val="00945CBE"/>
    <w:rsid w:val="00960C02"/>
    <w:rsid w:val="009724B5"/>
    <w:rsid w:val="00990C14"/>
    <w:rsid w:val="009B088B"/>
    <w:rsid w:val="009B3327"/>
    <w:rsid w:val="009D0541"/>
    <w:rsid w:val="00A15CA4"/>
    <w:rsid w:val="00A345F3"/>
    <w:rsid w:val="00A92D07"/>
    <w:rsid w:val="00AB2E77"/>
    <w:rsid w:val="00AB3503"/>
    <w:rsid w:val="00B14909"/>
    <w:rsid w:val="00B262E9"/>
    <w:rsid w:val="00B653A0"/>
    <w:rsid w:val="00BC3ADD"/>
    <w:rsid w:val="00BD54BA"/>
    <w:rsid w:val="00C4130E"/>
    <w:rsid w:val="00CA11D3"/>
    <w:rsid w:val="00CB4DC0"/>
    <w:rsid w:val="00CB5455"/>
    <w:rsid w:val="00CC15E8"/>
    <w:rsid w:val="00D105CD"/>
    <w:rsid w:val="00D10F19"/>
    <w:rsid w:val="00D131B9"/>
    <w:rsid w:val="00D245AD"/>
    <w:rsid w:val="00D25567"/>
    <w:rsid w:val="00D3742B"/>
    <w:rsid w:val="00D5296C"/>
    <w:rsid w:val="00D6552A"/>
    <w:rsid w:val="00D909B7"/>
    <w:rsid w:val="00DF3795"/>
    <w:rsid w:val="00E02442"/>
    <w:rsid w:val="00E176FD"/>
    <w:rsid w:val="00EB1A1B"/>
    <w:rsid w:val="00EC159E"/>
    <w:rsid w:val="00EE20AC"/>
    <w:rsid w:val="00EF1101"/>
    <w:rsid w:val="00F21D4B"/>
    <w:rsid w:val="00F273FF"/>
    <w:rsid w:val="00F530EA"/>
    <w:rsid w:val="00F61373"/>
    <w:rsid w:val="00F75327"/>
    <w:rsid w:val="00FB7538"/>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paragraph" w:customStyle="1" w:styleId="errepar1erfrancesnovedades">
    <w:name w:val="errepar_1erfrancesnovedades"/>
    <w:basedOn w:val="Normal"/>
    <w:rsid w:val="004A0634"/>
    <w:pPr>
      <w:spacing w:before="100" w:beforeAutospacing="1" w:after="100" w:afterAutospacing="1"/>
    </w:pPr>
    <w:rPr>
      <w:szCs w:val="24"/>
      <w:lang w:val="es-ES"/>
    </w:rPr>
  </w:style>
  <w:style w:type="paragraph" w:customStyle="1" w:styleId="errepar2dofrancesnovedades">
    <w:name w:val="errepar_2dofrancesnovedades"/>
    <w:basedOn w:val="Normal"/>
    <w:rsid w:val="004A0634"/>
    <w:pPr>
      <w:spacing w:before="100" w:beforeAutospacing="1" w:after="100" w:afterAutospacing="1"/>
    </w:pPr>
    <w:rPr>
      <w:szCs w:val="24"/>
      <w:lang w:val="es-ES"/>
    </w:rPr>
  </w:style>
  <w:style w:type="character" w:customStyle="1" w:styleId="negritanovedades">
    <w:name w:val="negritanovedades"/>
    <w:basedOn w:val="Fuentedeprrafopredeter"/>
    <w:rsid w:val="00143788"/>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30023942">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1053164943">
      <w:bodyDiv w:val="1"/>
      <w:marLeft w:val="0"/>
      <w:marRight w:val="0"/>
      <w:marTop w:val="0"/>
      <w:marBottom w:val="0"/>
      <w:divBdr>
        <w:top w:val="none" w:sz="0" w:space="0" w:color="auto"/>
        <w:left w:val="none" w:sz="0" w:space="0" w:color="auto"/>
        <w:bottom w:val="none" w:sz="0" w:space="0" w:color="auto"/>
        <w:right w:val="none" w:sz="0" w:space="0" w:color="auto"/>
      </w:divBdr>
    </w:div>
    <w:div w:id="1273049146">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71206065727662.docxhtml" TargetMode="External"/><Relationship Id="rId13" Type="http://schemas.openxmlformats.org/officeDocument/2006/relationships/hyperlink" Target="http://eolgestion.errepar.com/sitios/eolgestion/Legislacion/20170728071438223.doc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60210072335636.doc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170728071438223.doc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olgestion.errepar.com/sitios/eolgestion/Legislacion/20160210072335636.docxhtml" TargetMode="External"/><Relationship Id="rId4" Type="http://schemas.openxmlformats.org/officeDocument/2006/relationships/settings" Target="settings.xml"/><Relationship Id="rId9" Type="http://schemas.openxmlformats.org/officeDocument/2006/relationships/hyperlink" Target="http://www.afip.gob.ar"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F3B4-CD83-4D9A-B95E-014FCA20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2280</Words>
  <Characters>12540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dgaribaldi</dc:creator>
  <cp:lastModifiedBy>Paola Fontao</cp:lastModifiedBy>
  <cp:revision>15</cp:revision>
  <cp:lastPrinted>2018-07-06T21:31:00Z</cp:lastPrinted>
  <dcterms:created xsi:type="dcterms:W3CDTF">2018-08-07T13:45:00Z</dcterms:created>
  <dcterms:modified xsi:type="dcterms:W3CDTF">2018-08-23T17:12:00Z</dcterms:modified>
</cp:coreProperties>
</file>