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1" w:rsidRPr="00CB4392" w:rsidRDefault="00163321" w:rsidP="00163321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/>
        </w:rPr>
      </w:pPr>
      <w:r w:rsidRPr="00CB4392">
        <w:rPr>
          <w:szCs w:val="24"/>
          <w:u w:val="single"/>
          <w:lang w:val="es-AR"/>
        </w:rPr>
        <w:t>CIRCULAR IMPOSITIVA NRO</w:t>
      </w:r>
      <w:r w:rsidRPr="00711708">
        <w:rPr>
          <w:szCs w:val="24"/>
          <w:u w:val="single"/>
          <w:lang w:val="es-AR"/>
        </w:rPr>
        <w:t xml:space="preserve">. </w:t>
      </w:r>
      <w:r>
        <w:rPr>
          <w:szCs w:val="24"/>
          <w:u w:val="single"/>
          <w:lang w:val="es-AR"/>
        </w:rPr>
        <w:t>916</w:t>
      </w:r>
    </w:p>
    <w:p w:rsidR="00163321" w:rsidRDefault="00163321" w:rsidP="00163321">
      <w:pPr>
        <w:pStyle w:val="Textoindependiente"/>
        <w:rPr>
          <w:szCs w:val="24"/>
          <w:u w:val="single"/>
        </w:rPr>
      </w:pPr>
    </w:p>
    <w:p w:rsidR="00163321" w:rsidRPr="00CB4392" w:rsidRDefault="00163321" w:rsidP="00163321">
      <w:pPr>
        <w:pStyle w:val="Textoindependiente"/>
        <w:rPr>
          <w:szCs w:val="24"/>
          <w:u w:val="single"/>
        </w:rPr>
      </w:pPr>
    </w:p>
    <w:p w:rsidR="00163321" w:rsidRPr="00CB4392" w:rsidRDefault="00163321" w:rsidP="00163321">
      <w:pPr>
        <w:pStyle w:val="Ttulo5"/>
        <w:jc w:val="both"/>
        <w:rPr>
          <w:b/>
          <w:i/>
          <w:szCs w:val="24"/>
        </w:rPr>
      </w:pPr>
      <w:r w:rsidRPr="00CB4392">
        <w:rPr>
          <w:b/>
          <w:i/>
          <w:szCs w:val="24"/>
        </w:rPr>
        <w:t>Le</w:t>
      </w:r>
      <w:r>
        <w:rPr>
          <w:b/>
          <w:i/>
          <w:szCs w:val="24"/>
        </w:rPr>
        <w:t xml:space="preserve">y 27.430 </w:t>
      </w:r>
    </w:p>
    <w:p w:rsidR="00163321" w:rsidRPr="00CB4392" w:rsidRDefault="00163321" w:rsidP="00163321">
      <w:pPr>
        <w:pStyle w:val="Ttulo5"/>
        <w:jc w:val="both"/>
        <w:rPr>
          <w:b/>
          <w:i/>
          <w:szCs w:val="24"/>
        </w:rPr>
      </w:pPr>
      <w:r w:rsidRPr="00CB4392">
        <w:rPr>
          <w:b/>
          <w:i/>
          <w:szCs w:val="24"/>
        </w:rPr>
        <w:t xml:space="preserve">Fecha de Norma: </w:t>
      </w:r>
      <w:r>
        <w:rPr>
          <w:b/>
          <w:i/>
          <w:szCs w:val="24"/>
        </w:rPr>
        <w:t>27/12/2017</w:t>
      </w:r>
    </w:p>
    <w:p w:rsidR="00163321" w:rsidRDefault="00163321" w:rsidP="00163321">
      <w:pPr>
        <w:pStyle w:val="Ttulo5"/>
        <w:jc w:val="both"/>
        <w:rPr>
          <w:rFonts w:eastAsia="MS Mincho"/>
          <w:b/>
          <w:i/>
          <w:szCs w:val="24"/>
        </w:rPr>
      </w:pPr>
      <w:r w:rsidRPr="00CB4392">
        <w:rPr>
          <w:b/>
          <w:i/>
          <w:szCs w:val="24"/>
        </w:rPr>
        <w:t>Fecha Boletín Oficial:</w:t>
      </w:r>
      <w:r>
        <w:rPr>
          <w:rFonts w:eastAsia="MS Mincho"/>
          <w:b/>
          <w:i/>
          <w:szCs w:val="24"/>
        </w:rPr>
        <w:t xml:space="preserve"> 29/12/2017</w:t>
      </w:r>
    </w:p>
    <w:p w:rsidR="00163321" w:rsidRDefault="00163321" w:rsidP="00163321">
      <w:pPr>
        <w:rPr>
          <w:rFonts w:eastAsia="MS Mincho"/>
        </w:rPr>
      </w:pPr>
    </w:p>
    <w:p w:rsidR="00163321" w:rsidRPr="002E4B41" w:rsidRDefault="00163321" w:rsidP="00163321">
      <w:pPr>
        <w:rPr>
          <w:rFonts w:eastAsia="MS Mincho"/>
        </w:rPr>
      </w:pPr>
    </w:p>
    <w:p w:rsidR="00163321" w:rsidRDefault="00163321" w:rsidP="00163321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Reforma Tributaria – Revalúo Impositivo y Contable.</w:t>
      </w:r>
    </w:p>
    <w:p w:rsidR="00163321" w:rsidRDefault="00163321" w:rsidP="00163321"/>
    <w:p w:rsidR="00163321" w:rsidRDefault="00163321" w:rsidP="00163321"/>
    <w:p w:rsidR="00F8145D" w:rsidRDefault="00163321" w:rsidP="00163321">
      <w:pPr>
        <w:jc w:val="both"/>
        <w:rPr>
          <w:sz w:val="24"/>
          <w:szCs w:val="24"/>
        </w:rPr>
      </w:pPr>
      <w:r w:rsidRPr="00681AE3">
        <w:rPr>
          <w:sz w:val="24"/>
          <w:szCs w:val="24"/>
        </w:rPr>
        <w:t xml:space="preserve">A través </w:t>
      </w:r>
      <w:r>
        <w:rPr>
          <w:sz w:val="24"/>
          <w:szCs w:val="24"/>
        </w:rPr>
        <w:t xml:space="preserve">del </w:t>
      </w:r>
      <w:r w:rsidR="00F8145D">
        <w:rPr>
          <w:sz w:val="24"/>
          <w:szCs w:val="24"/>
        </w:rPr>
        <w:t>Titulo X de l</w:t>
      </w:r>
      <w:r w:rsidRPr="00681AE3">
        <w:rPr>
          <w:sz w:val="24"/>
          <w:szCs w:val="24"/>
        </w:rPr>
        <w:t xml:space="preserve">a </w:t>
      </w:r>
      <w:r w:rsidR="00F8145D">
        <w:rPr>
          <w:sz w:val="24"/>
          <w:szCs w:val="24"/>
        </w:rPr>
        <w:t>L</w:t>
      </w:r>
      <w:r w:rsidRPr="00681AE3">
        <w:rPr>
          <w:sz w:val="24"/>
          <w:szCs w:val="24"/>
        </w:rPr>
        <w:t xml:space="preserve">ey </w:t>
      </w:r>
      <w:r>
        <w:rPr>
          <w:sz w:val="24"/>
          <w:szCs w:val="24"/>
        </w:rPr>
        <w:t xml:space="preserve">27.430 se </w:t>
      </w:r>
      <w:r w:rsidR="00F8145D">
        <w:rPr>
          <w:sz w:val="24"/>
          <w:szCs w:val="24"/>
        </w:rPr>
        <w:t xml:space="preserve">establece el </w:t>
      </w:r>
      <w:r w:rsidR="006C6E50">
        <w:rPr>
          <w:sz w:val="24"/>
          <w:szCs w:val="24"/>
        </w:rPr>
        <w:t>R</w:t>
      </w:r>
      <w:r w:rsidR="00F8145D">
        <w:rPr>
          <w:sz w:val="24"/>
          <w:szCs w:val="24"/>
        </w:rPr>
        <w:t xml:space="preserve">evalúo </w:t>
      </w:r>
      <w:r w:rsidR="006C6E50">
        <w:rPr>
          <w:sz w:val="24"/>
          <w:szCs w:val="24"/>
        </w:rPr>
        <w:t>I</w:t>
      </w:r>
      <w:r w:rsidR="00F8145D">
        <w:rPr>
          <w:sz w:val="24"/>
          <w:szCs w:val="24"/>
        </w:rPr>
        <w:t xml:space="preserve">mpositivo y </w:t>
      </w:r>
      <w:r w:rsidR="006C6E50">
        <w:rPr>
          <w:sz w:val="24"/>
          <w:szCs w:val="24"/>
        </w:rPr>
        <w:t>C</w:t>
      </w:r>
      <w:r w:rsidR="00F8145D">
        <w:rPr>
          <w:sz w:val="24"/>
          <w:szCs w:val="24"/>
        </w:rPr>
        <w:t>ontable. Los aspectos más destacados son los que detallan a continuación:</w:t>
      </w:r>
    </w:p>
    <w:p w:rsidR="00F8145D" w:rsidRDefault="00F8145D" w:rsidP="00163321">
      <w:pPr>
        <w:jc w:val="both"/>
        <w:rPr>
          <w:sz w:val="24"/>
          <w:szCs w:val="24"/>
        </w:rPr>
      </w:pPr>
    </w:p>
    <w:p w:rsidR="00F8145D" w:rsidRDefault="00F8145D" w:rsidP="00163321">
      <w:pPr>
        <w:jc w:val="both"/>
        <w:rPr>
          <w:sz w:val="24"/>
          <w:szCs w:val="24"/>
        </w:rPr>
      </w:pPr>
    </w:p>
    <w:p w:rsidR="00F8145D" w:rsidRPr="00F8145D" w:rsidRDefault="00F8145D" w:rsidP="00F8145D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8145D">
        <w:rPr>
          <w:b/>
          <w:sz w:val="24"/>
          <w:szCs w:val="24"/>
        </w:rPr>
        <w:t>Sujetos alcanzados</w:t>
      </w:r>
      <w:r>
        <w:rPr>
          <w:b/>
          <w:sz w:val="24"/>
          <w:szCs w:val="24"/>
        </w:rPr>
        <w:t xml:space="preserve"> – Periodo de la opción</w:t>
      </w: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811AB2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F8145D">
        <w:rPr>
          <w:sz w:val="24"/>
          <w:szCs w:val="24"/>
        </w:rPr>
        <w:t xml:space="preserve">Las personas humanas, las sucesiones indivisas y los sujetos comprendidos en el artículo 49 de la </w:t>
      </w:r>
      <w:r w:rsidR="00A933D4">
        <w:rPr>
          <w:sz w:val="24"/>
          <w:szCs w:val="24"/>
        </w:rPr>
        <w:t>LIG</w:t>
      </w:r>
      <w:r w:rsidRPr="00F8145D">
        <w:rPr>
          <w:sz w:val="24"/>
          <w:szCs w:val="24"/>
        </w:rPr>
        <w:t xml:space="preserve">, </w:t>
      </w:r>
      <w:r w:rsidRPr="00125E7F">
        <w:rPr>
          <w:sz w:val="24"/>
          <w:szCs w:val="24"/>
          <w:u w:val="single"/>
        </w:rPr>
        <w:t>residentes en el país</w:t>
      </w:r>
      <w:r w:rsidRPr="00F8145D">
        <w:rPr>
          <w:sz w:val="24"/>
          <w:szCs w:val="24"/>
        </w:rPr>
        <w:t xml:space="preserve"> a la fecha de entrada en vigencia de este Título,</w:t>
      </w:r>
      <w:r>
        <w:rPr>
          <w:sz w:val="24"/>
          <w:szCs w:val="24"/>
        </w:rPr>
        <w:t xml:space="preserve"> </w:t>
      </w:r>
      <w:r w:rsidRPr="00811AB2">
        <w:rPr>
          <w:sz w:val="24"/>
          <w:szCs w:val="24"/>
          <w:u w:val="single"/>
        </w:rPr>
        <w:t xml:space="preserve">podrán ejercer la opción de revaluar, a los efectos impositivos, los bienes situados, colocados o utilizados económicamente en el país cuya titularidad les corresponda y que se encuentren afectados a la generación de ganancias </w:t>
      </w:r>
      <w:proofErr w:type="spellStart"/>
      <w:r w:rsidRPr="00811AB2">
        <w:rPr>
          <w:sz w:val="24"/>
          <w:szCs w:val="24"/>
          <w:u w:val="single"/>
        </w:rPr>
        <w:t>gravadas</w:t>
      </w:r>
      <w:proofErr w:type="spellEnd"/>
      <w:r w:rsidRPr="00811AB2">
        <w:rPr>
          <w:sz w:val="24"/>
          <w:szCs w:val="24"/>
          <w:u w:val="single"/>
        </w:rPr>
        <w:t xml:space="preserve"> por el mencionado impuesto.</w:t>
      </w:r>
    </w:p>
    <w:p w:rsidR="00A933D4" w:rsidRPr="00F8145D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 xml:space="preserve">A los efectos de este </w:t>
      </w:r>
      <w:r w:rsidR="00A933D4">
        <w:rPr>
          <w:sz w:val="24"/>
          <w:szCs w:val="24"/>
        </w:rPr>
        <w:t>c</w:t>
      </w:r>
      <w:r w:rsidRPr="00F8145D">
        <w:rPr>
          <w:sz w:val="24"/>
          <w:szCs w:val="24"/>
        </w:rPr>
        <w:t>apítulo, “período de la opción” hace referencia al primer ejercicio o año fiscal, según corresponda, cuyo</w:t>
      </w:r>
      <w:r w:rsidR="00A933D4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cierre se produzca con posterioridad a la fecha de en</w:t>
      </w:r>
      <w:r w:rsidR="00125E7F">
        <w:rPr>
          <w:sz w:val="24"/>
          <w:szCs w:val="24"/>
        </w:rPr>
        <w:t>trada en vigencia de esta norma (30/12/2017)</w:t>
      </w:r>
    </w:p>
    <w:p w:rsidR="00A933D4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3D4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3D4" w:rsidRPr="00A933D4" w:rsidRDefault="00A933D4" w:rsidP="00F8145D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b/>
          <w:sz w:val="24"/>
          <w:szCs w:val="24"/>
        </w:rPr>
        <w:t xml:space="preserve">Bienes objeto de revalúo </w:t>
      </w:r>
      <w:r>
        <w:rPr>
          <w:b/>
          <w:sz w:val="24"/>
          <w:szCs w:val="24"/>
        </w:rPr>
        <w:t xml:space="preserve">y </w:t>
      </w:r>
      <w:r w:rsidR="00C37D06">
        <w:rPr>
          <w:b/>
          <w:sz w:val="24"/>
          <w:szCs w:val="24"/>
        </w:rPr>
        <w:t xml:space="preserve">bienes </w:t>
      </w:r>
      <w:r>
        <w:rPr>
          <w:b/>
          <w:sz w:val="24"/>
          <w:szCs w:val="24"/>
        </w:rPr>
        <w:t>exentos</w:t>
      </w:r>
    </w:p>
    <w:p w:rsidR="00A933D4" w:rsidRPr="00A933D4" w:rsidRDefault="00A933D4" w:rsidP="00A933D4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A933D4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Podrán ser objeto del revalúo los siguientes bienes:</w:t>
      </w:r>
    </w:p>
    <w:p w:rsidR="00A933D4" w:rsidRPr="00F8145D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Inmuebles que no posean el carácter de bienes de cambio.</w:t>
      </w: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Inmuebles que posean el carácter de bienes de cambio.</w:t>
      </w: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Bienes muebles amortizables (incluida la hacienda con fines de reproducción), quedando comprendidos los automóviles solo</w:t>
      </w:r>
      <w:r w:rsidR="00A933D4" w:rsidRPr="00A933D4">
        <w:rPr>
          <w:sz w:val="24"/>
          <w:szCs w:val="24"/>
        </w:rPr>
        <w:t xml:space="preserve"> </w:t>
      </w:r>
      <w:r w:rsidRPr="00A933D4">
        <w:rPr>
          <w:sz w:val="24"/>
          <w:szCs w:val="24"/>
        </w:rPr>
        <w:t>cuando su explotación constituya el objeto principal de la actividad.</w:t>
      </w: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Acciones, cuotas y participaciones sociales, emitidas por sociedades constituidas en el país.</w:t>
      </w: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Minas, canteras, bosques y bienes análogos.</w:t>
      </w:r>
    </w:p>
    <w:p w:rsidR="00F8145D" w:rsidRPr="00A933D4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Bienes intangibles, incluidos los derechos de concesión y similares.</w:t>
      </w:r>
    </w:p>
    <w:p w:rsidR="00F8145D" w:rsidRDefault="00F8145D" w:rsidP="00A933D4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33D4">
        <w:rPr>
          <w:sz w:val="24"/>
          <w:szCs w:val="24"/>
        </w:rPr>
        <w:t>Otros bienes no comprendidos en los incisos anteriores, conforme lo establezca la reglamentación, excepto bienes de cambio</w:t>
      </w:r>
      <w:r w:rsidR="00A933D4" w:rsidRPr="00A933D4">
        <w:rPr>
          <w:sz w:val="24"/>
          <w:szCs w:val="24"/>
        </w:rPr>
        <w:t xml:space="preserve"> </w:t>
      </w:r>
      <w:r w:rsidRPr="00A933D4">
        <w:rPr>
          <w:sz w:val="24"/>
          <w:szCs w:val="24"/>
        </w:rPr>
        <w:t>y automóviles.</w:t>
      </w:r>
    </w:p>
    <w:p w:rsidR="00A933D4" w:rsidRPr="00A933D4" w:rsidRDefault="00A933D4" w:rsidP="00A933D4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Para poder ser objeto del revalúo los bienes deben haber sido adquiridos o construidos por los sujetos</w:t>
      </w:r>
      <w:r w:rsidR="00A933D4">
        <w:rPr>
          <w:sz w:val="24"/>
          <w:szCs w:val="24"/>
        </w:rPr>
        <w:t xml:space="preserve"> alcanzados</w:t>
      </w:r>
      <w:r w:rsidRPr="00F8145D">
        <w:rPr>
          <w:sz w:val="24"/>
          <w:szCs w:val="24"/>
        </w:rPr>
        <w:t xml:space="preserve"> </w:t>
      </w:r>
      <w:r w:rsidRPr="00811AB2">
        <w:rPr>
          <w:sz w:val="24"/>
          <w:szCs w:val="24"/>
          <w:u w:val="single"/>
        </w:rPr>
        <w:t>con anterioridad a la fecha de entrada en vigencia de este Título y mantenerse en su patrimonio</w:t>
      </w:r>
      <w:r w:rsidR="00A933D4" w:rsidRPr="00811AB2">
        <w:rPr>
          <w:sz w:val="24"/>
          <w:szCs w:val="24"/>
          <w:u w:val="single"/>
        </w:rPr>
        <w:t xml:space="preserve"> </w:t>
      </w:r>
      <w:r w:rsidRPr="00811AB2">
        <w:rPr>
          <w:sz w:val="24"/>
          <w:szCs w:val="24"/>
          <w:u w:val="single"/>
        </w:rPr>
        <w:t>al momento del ejercicio de la opción.</w:t>
      </w:r>
    </w:p>
    <w:p w:rsidR="00A933D4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231456">
        <w:rPr>
          <w:sz w:val="24"/>
          <w:szCs w:val="24"/>
          <w:u w:val="single"/>
        </w:rPr>
        <w:t>N</w:t>
      </w:r>
      <w:r w:rsidR="00F8145D" w:rsidRPr="00231456">
        <w:rPr>
          <w:sz w:val="24"/>
          <w:szCs w:val="24"/>
          <w:u w:val="single"/>
        </w:rPr>
        <w:t>o pueden ser objeto de revalúo</w:t>
      </w:r>
      <w:r w:rsidR="00F8145D" w:rsidRPr="00231456">
        <w:rPr>
          <w:sz w:val="24"/>
          <w:szCs w:val="24"/>
        </w:rPr>
        <w:t>:</w:t>
      </w:r>
      <w:r w:rsidR="00F8145D" w:rsidRPr="00F8145D">
        <w:rPr>
          <w:sz w:val="24"/>
          <w:szCs w:val="24"/>
        </w:rPr>
        <w:t xml:space="preserve"> los bienes respecto de los cuales se esté aplicando, efectivamente, un régimen de</w:t>
      </w:r>
      <w:r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 xml:space="preserve">amortización acelerada de conformidad con lo previsto </w:t>
      </w:r>
      <w:r w:rsidR="00F8145D" w:rsidRPr="00F8145D">
        <w:rPr>
          <w:sz w:val="24"/>
          <w:szCs w:val="24"/>
        </w:rPr>
        <w:lastRenderedPageBreak/>
        <w:t>por leyes especiales, los bienes que hayan sido exteriorizados conforme</w:t>
      </w:r>
      <w:r w:rsidR="00777B0B">
        <w:rPr>
          <w:sz w:val="24"/>
          <w:szCs w:val="24"/>
        </w:rPr>
        <w:t xml:space="preserve"> a la L</w:t>
      </w:r>
      <w:r w:rsidR="00F8145D" w:rsidRPr="00F8145D">
        <w:rPr>
          <w:sz w:val="24"/>
          <w:szCs w:val="24"/>
        </w:rPr>
        <w:t>ey 27</w:t>
      </w:r>
      <w:r w:rsidR="00777B0B">
        <w:rPr>
          <w:sz w:val="24"/>
          <w:szCs w:val="24"/>
        </w:rPr>
        <w:t>.</w:t>
      </w:r>
      <w:r w:rsidR="00F8145D" w:rsidRPr="00F8145D">
        <w:rPr>
          <w:sz w:val="24"/>
          <w:szCs w:val="24"/>
        </w:rPr>
        <w:t>260</w:t>
      </w:r>
      <w:r w:rsidR="00125E7F">
        <w:rPr>
          <w:sz w:val="24"/>
          <w:szCs w:val="24"/>
        </w:rPr>
        <w:t xml:space="preserve"> (Blanqueo)</w:t>
      </w:r>
      <w:r w:rsidR="00F8145D" w:rsidRPr="00F8145D">
        <w:rPr>
          <w:sz w:val="24"/>
          <w:szCs w:val="24"/>
        </w:rPr>
        <w:t xml:space="preserve"> ni los bienes que se encuentren totalmente amortizados al cierre del período de la</w:t>
      </w:r>
      <w:r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>opción.</w:t>
      </w:r>
    </w:p>
    <w:p w:rsidR="00A933D4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B0B" w:rsidRDefault="00777B0B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B0B" w:rsidRPr="00A933D4" w:rsidRDefault="00777B0B" w:rsidP="00777B0B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Procedimiento a aplicar</w:t>
      </w:r>
    </w:p>
    <w:p w:rsidR="00A933D4" w:rsidRPr="00F8145D" w:rsidRDefault="00A933D4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Una vez ejercida la opción, el valor residual impositivo del bien al cierre del período de la opción será el que surja de</w:t>
      </w:r>
      <w:r w:rsidR="00231456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aplicar el siguiente procedimiento:</w:t>
      </w:r>
    </w:p>
    <w:p w:rsidR="00CC0835" w:rsidRPr="00F8145D" w:rsidRDefault="00CC0835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231456" w:rsidRDefault="00F8145D" w:rsidP="00231456">
      <w:pPr>
        <w:pStyle w:val="Prrafodelista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1456">
        <w:rPr>
          <w:sz w:val="24"/>
          <w:szCs w:val="24"/>
        </w:rPr>
        <w:t xml:space="preserve">El costo de adquisición o construcción determinado según las disposiciones de la </w:t>
      </w:r>
      <w:r w:rsidR="00231456">
        <w:rPr>
          <w:sz w:val="24"/>
          <w:szCs w:val="24"/>
        </w:rPr>
        <w:t>LIG</w:t>
      </w:r>
      <w:r w:rsidRPr="00231456">
        <w:rPr>
          <w:sz w:val="24"/>
          <w:szCs w:val="24"/>
        </w:rPr>
        <w:t>, se multiplicará por el factor de revalúo correspondiente al año calendario, trimestre o</w:t>
      </w:r>
      <w:r w:rsidR="00231456" w:rsidRPr="00231456">
        <w:rPr>
          <w:sz w:val="24"/>
          <w:szCs w:val="24"/>
        </w:rPr>
        <w:t xml:space="preserve"> </w:t>
      </w:r>
      <w:r w:rsidRPr="00231456">
        <w:rPr>
          <w:sz w:val="24"/>
          <w:szCs w:val="24"/>
        </w:rPr>
        <w:t>mes de adquisición o construcción establecido en la siguiente planilla.</w:t>
      </w:r>
    </w:p>
    <w:p w:rsidR="00231456" w:rsidRDefault="0023145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CC0835" w:rsidRDefault="00F8145D" w:rsidP="00CC0835">
      <w:pPr>
        <w:widowControl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CC0835">
        <w:rPr>
          <w:sz w:val="24"/>
          <w:szCs w:val="24"/>
          <w:u w:val="single"/>
        </w:rPr>
        <w:t>Factor de revalúo</w:t>
      </w:r>
    </w:p>
    <w:p w:rsidR="00777B0B" w:rsidRDefault="00777B0B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2693"/>
        <w:gridCol w:w="2694"/>
      </w:tblGrid>
      <w:tr w:rsidR="00231456" w:rsidTr="00231456">
        <w:tc>
          <w:tcPr>
            <w:tcW w:w="2693" w:type="dxa"/>
          </w:tcPr>
          <w:p w:rsidR="00231456" w:rsidRPr="00CC0835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0835">
              <w:rPr>
                <w:b/>
                <w:sz w:val="24"/>
                <w:szCs w:val="24"/>
              </w:rPr>
              <w:t>Año / trimestre</w:t>
            </w:r>
          </w:p>
        </w:tc>
        <w:tc>
          <w:tcPr>
            <w:tcW w:w="2694" w:type="dxa"/>
          </w:tcPr>
          <w:p w:rsidR="00231456" w:rsidRPr="00CC0835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0835">
              <w:rPr>
                <w:b/>
                <w:sz w:val="24"/>
                <w:szCs w:val="24"/>
              </w:rPr>
              <w:t>Factor (1)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y anteriores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14,55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8,21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5,98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4,92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2,79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1º trimestre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2º trimestre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3º trimestre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</w:tr>
      <w:tr w:rsidR="00231456" w:rsidTr="00231456">
        <w:tc>
          <w:tcPr>
            <w:tcW w:w="2693" w:type="dxa"/>
          </w:tcPr>
          <w:p w:rsidR="00231456" w:rsidRDefault="00231456" w:rsidP="00CC083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4º trimestre</w:t>
            </w:r>
          </w:p>
        </w:tc>
        <w:tc>
          <w:tcPr>
            <w:tcW w:w="2694" w:type="dxa"/>
          </w:tcPr>
          <w:p w:rsidR="00231456" w:rsidRDefault="00231456" w:rsidP="0023145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:rsidR="00231456" w:rsidRDefault="0023145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1456" w:rsidRDefault="0023145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777B0B" w:rsidP="00CC0835">
      <w:pPr>
        <w:widowControl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8145D"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>(1) Para ejercicios o años fiscales cerrados el 31 de diciembre de 2017. Para los ejercicios fiscales cuyo cierre se produzca</w:t>
      </w:r>
      <w:r w:rsidR="00CC0835"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>con posterioridad a esa fecha, los factores de revalúo establecidos en la presente tabla se ajustarán por el coeficiente que</w:t>
      </w:r>
      <w:r w:rsidR="00CC0835"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>surja de la variación del Índice de Precios Internos al por Mayor (IPIM) que suministre el Instituto Nacional de Estadística y</w:t>
      </w:r>
      <w:r w:rsidR="00CC0835"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>Censos (INDEC) correspondiente al mes de cierre del ejercicio fiscal respecto del mes de diciembre de 2017. Las tablas que</w:t>
      </w:r>
      <w:r w:rsidR="00CC0835">
        <w:rPr>
          <w:sz w:val="24"/>
          <w:szCs w:val="24"/>
        </w:rPr>
        <w:t xml:space="preserve"> </w:t>
      </w:r>
      <w:r w:rsidR="00F8145D" w:rsidRPr="00F8145D">
        <w:rPr>
          <w:sz w:val="24"/>
          <w:szCs w:val="24"/>
        </w:rPr>
        <w:t xml:space="preserve">a esos fines elabore la </w:t>
      </w:r>
      <w:r w:rsidR="00CC0835">
        <w:rPr>
          <w:sz w:val="24"/>
          <w:szCs w:val="24"/>
        </w:rPr>
        <w:t>AFIP</w:t>
      </w:r>
      <w:r w:rsidR="00F8145D" w:rsidRPr="00F8145D">
        <w:rPr>
          <w:sz w:val="24"/>
          <w:szCs w:val="24"/>
        </w:rPr>
        <w:t xml:space="preserve"> contendrán valores mensuales para el año 2018.</w:t>
      </w:r>
    </w:p>
    <w:p w:rsidR="00CC0835" w:rsidRPr="00F8145D" w:rsidRDefault="00CC0835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0835" w:rsidRDefault="00F8145D" w:rsidP="00F8145D">
      <w:pPr>
        <w:pStyle w:val="Prrafodelista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C0835">
        <w:rPr>
          <w:sz w:val="24"/>
          <w:szCs w:val="24"/>
        </w:rPr>
        <w:lastRenderedPageBreak/>
        <w:t>Al valor determinado conforme con el inciso a</w:t>
      </w:r>
      <w:r w:rsidR="00CC0835" w:rsidRPr="00CC0835">
        <w:rPr>
          <w:sz w:val="24"/>
          <w:szCs w:val="24"/>
        </w:rPr>
        <w:t>)</w:t>
      </w:r>
      <w:r w:rsidRPr="00CC0835">
        <w:rPr>
          <w:sz w:val="24"/>
          <w:szCs w:val="24"/>
        </w:rPr>
        <w:t xml:space="preserve"> se le restarán las amortizaciones que hubieran correspondido</w:t>
      </w:r>
      <w:r w:rsidR="00CC0835" w:rsidRPr="00CC0835">
        <w:rPr>
          <w:sz w:val="24"/>
          <w:szCs w:val="24"/>
        </w:rPr>
        <w:t xml:space="preserve"> </w:t>
      </w:r>
      <w:r w:rsidRPr="00CC0835">
        <w:rPr>
          <w:sz w:val="24"/>
          <w:szCs w:val="24"/>
        </w:rPr>
        <w:t>por los períodos de vida útil</w:t>
      </w:r>
      <w:r w:rsidR="00CC0835" w:rsidRPr="00CC0835">
        <w:rPr>
          <w:sz w:val="24"/>
          <w:szCs w:val="24"/>
        </w:rPr>
        <w:t xml:space="preserve"> </w:t>
      </w:r>
      <w:r w:rsidRPr="00CC0835">
        <w:rPr>
          <w:sz w:val="24"/>
          <w:szCs w:val="24"/>
        </w:rPr>
        <w:t>transcurridos incluyendo la correspon</w:t>
      </w:r>
      <w:r w:rsidR="00CC0835">
        <w:rPr>
          <w:sz w:val="24"/>
          <w:szCs w:val="24"/>
        </w:rPr>
        <w:t>diente al período de la opción.</w:t>
      </w:r>
    </w:p>
    <w:p w:rsidR="00CC0835" w:rsidRPr="00CC0835" w:rsidRDefault="00CC0835" w:rsidP="00CC0835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CC0835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CC0835">
        <w:rPr>
          <w:sz w:val="24"/>
          <w:szCs w:val="24"/>
          <w:u w:val="single"/>
        </w:rPr>
        <w:t>El valor residual impositivo del bien al cierre del período de la opción no podrá exceder su valor recuperable a esa fecha.</w:t>
      </w:r>
    </w:p>
    <w:p w:rsidR="00CC0835" w:rsidRPr="00F8145D" w:rsidRDefault="00CC0835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CC0835">
        <w:rPr>
          <w:sz w:val="24"/>
          <w:szCs w:val="24"/>
          <w:u w:val="single"/>
        </w:rPr>
        <w:t xml:space="preserve">Para los </w:t>
      </w:r>
      <w:r w:rsidR="00CC0835" w:rsidRPr="00CC0835">
        <w:rPr>
          <w:sz w:val="24"/>
          <w:szCs w:val="24"/>
          <w:u w:val="single"/>
        </w:rPr>
        <w:t>Inmuebles que no posean el carácter de bienes de cambio y los bienes muebles amortizables</w:t>
      </w:r>
      <w:r w:rsidR="00CC0835" w:rsidRPr="00A933D4">
        <w:rPr>
          <w:sz w:val="24"/>
          <w:szCs w:val="24"/>
        </w:rPr>
        <w:t xml:space="preserve"> (incluida la hacienda con fines de reproducción), quedando comprendidos los automóviles solo cuando su explotación constituya el o</w:t>
      </w:r>
      <w:r w:rsidR="00CC0835">
        <w:rPr>
          <w:sz w:val="24"/>
          <w:szCs w:val="24"/>
        </w:rPr>
        <w:t xml:space="preserve">bjeto principal de la actividad, </w:t>
      </w:r>
      <w:r w:rsidRPr="00F8145D">
        <w:rPr>
          <w:sz w:val="24"/>
          <w:szCs w:val="24"/>
        </w:rPr>
        <w:t>el contribuyente podrá optar por</w:t>
      </w:r>
      <w:r w:rsidR="00CC0835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 xml:space="preserve">determinar el valor residual impositivo al cierre del período de la opción con base en la </w:t>
      </w:r>
      <w:r w:rsidRPr="00CC0835">
        <w:rPr>
          <w:sz w:val="24"/>
          <w:szCs w:val="24"/>
          <w:u w:val="single"/>
        </w:rPr>
        <w:t>estimación que realice un valuador</w:t>
      </w:r>
      <w:r w:rsidR="00CC0835" w:rsidRPr="00CC0835">
        <w:rPr>
          <w:sz w:val="24"/>
          <w:szCs w:val="24"/>
          <w:u w:val="single"/>
        </w:rPr>
        <w:t xml:space="preserve"> </w:t>
      </w:r>
      <w:r w:rsidRPr="00CC0835">
        <w:rPr>
          <w:sz w:val="24"/>
          <w:szCs w:val="24"/>
          <w:u w:val="single"/>
        </w:rPr>
        <w:t>independiente.</w:t>
      </w:r>
    </w:p>
    <w:p w:rsidR="004F7CD8" w:rsidRPr="004F7CD8" w:rsidRDefault="004F7CD8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4F7CD8">
        <w:rPr>
          <w:sz w:val="24"/>
          <w:szCs w:val="24"/>
        </w:rPr>
        <w:t>En caso que se opte por este método el valor revaluado del bien no podrá superar en más</w:t>
      </w:r>
      <w:r>
        <w:rPr>
          <w:sz w:val="24"/>
          <w:szCs w:val="24"/>
        </w:rPr>
        <w:t xml:space="preserve"> de un 50% </w:t>
      </w:r>
      <w:r w:rsidRPr="004F7CD8">
        <w:rPr>
          <w:sz w:val="24"/>
          <w:szCs w:val="24"/>
        </w:rPr>
        <w:t xml:space="preserve">el valor residual del bien calculado según el procedimiento </w:t>
      </w:r>
      <w:r>
        <w:rPr>
          <w:sz w:val="24"/>
          <w:szCs w:val="24"/>
        </w:rPr>
        <w:t xml:space="preserve">previsto por esta </w:t>
      </w:r>
      <w:r w:rsidRPr="004F7CD8">
        <w:rPr>
          <w:sz w:val="24"/>
          <w:szCs w:val="24"/>
        </w:rPr>
        <w:t>norma.</w:t>
      </w:r>
    </w:p>
    <w:p w:rsidR="00CC0835" w:rsidRDefault="00CC0835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6D6C6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 xml:space="preserve">El revalúo deberá ser practicado respecto de </w:t>
      </w:r>
      <w:r w:rsidRPr="00125E7F">
        <w:rPr>
          <w:sz w:val="24"/>
          <w:szCs w:val="24"/>
          <w:u w:val="single"/>
        </w:rPr>
        <w:t>todos los bienes del contribuyente que integren</w:t>
      </w:r>
      <w:r w:rsidR="006D6C6F" w:rsidRPr="00125E7F">
        <w:rPr>
          <w:sz w:val="24"/>
          <w:szCs w:val="24"/>
          <w:u w:val="single"/>
        </w:rPr>
        <w:t xml:space="preserve"> </w:t>
      </w:r>
      <w:r w:rsidRPr="00125E7F">
        <w:rPr>
          <w:sz w:val="24"/>
          <w:szCs w:val="24"/>
          <w:u w:val="single"/>
        </w:rPr>
        <w:t>la misma categoría</w:t>
      </w:r>
      <w:r w:rsidRPr="00F8145D">
        <w:rPr>
          <w:sz w:val="24"/>
          <w:szCs w:val="24"/>
        </w:rPr>
        <w:t xml:space="preserve">, con excepción de </w:t>
      </w:r>
      <w:r w:rsidR="006D6C6F">
        <w:rPr>
          <w:sz w:val="24"/>
          <w:szCs w:val="24"/>
        </w:rPr>
        <w:t>aquellos expresamente excluidos.</w:t>
      </w:r>
    </w:p>
    <w:p w:rsidR="006D6C6F" w:rsidRPr="00F8145D" w:rsidRDefault="006D6C6F" w:rsidP="006D6C6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El “importe del revalúo” es la diferencia entre el valor residual impositivo del bien al cierre del período de la opción y</w:t>
      </w:r>
      <w:r w:rsidR="006D6C6F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el valor de origen residual a esa fecha</w:t>
      </w:r>
      <w:r w:rsidR="006D6C6F">
        <w:rPr>
          <w:sz w:val="24"/>
          <w:szCs w:val="24"/>
        </w:rPr>
        <w:t>.</w:t>
      </w:r>
    </w:p>
    <w:p w:rsidR="006D6C6F" w:rsidRDefault="006D6C6F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6E50" w:rsidRPr="006C6E50" w:rsidRDefault="006C6E50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741" w:rsidRPr="004D7741" w:rsidRDefault="004D7741" w:rsidP="004D7741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Determinación del Impue</w:t>
      </w:r>
      <w:r w:rsidR="00811AB2">
        <w:rPr>
          <w:b/>
          <w:sz w:val="24"/>
          <w:szCs w:val="24"/>
        </w:rPr>
        <w:t xml:space="preserve">stos a las Ganancias de los períodos fiscales siguientes </w:t>
      </w:r>
      <w:r w:rsidR="004F7CB6">
        <w:rPr>
          <w:b/>
          <w:sz w:val="24"/>
          <w:szCs w:val="24"/>
        </w:rPr>
        <w:t>al</w:t>
      </w:r>
      <w:r w:rsidR="00811AB2">
        <w:rPr>
          <w:b/>
          <w:sz w:val="24"/>
          <w:szCs w:val="24"/>
        </w:rPr>
        <w:t xml:space="preserve"> perí</w:t>
      </w:r>
      <w:r>
        <w:rPr>
          <w:b/>
          <w:sz w:val="24"/>
          <w:szCs w:val="24"/>
        </w:rPr>
        <w:t>odo de la opción</w:t>
      </w:r>
    </w:p>
    <w:p w:rsidR="004D7741" w:rsidRDefault="004D7741" w:rsidP="004D774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621D" w:rsidRDefault="00811AB2" w:rsidP="004D774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Para los períodos siguientes al período de la opción</w:t>
      </w:r>
      <w:r w:rsidR="0087621D">
        <w:rPr>
          <w:sz w:val="24"/>
          <w:szCs w:val="24"/>
        </w:rPr>
        <w:t xml:space="preserve">, se calculará la amortización sobre el valor del revalúo. </w:t>
      </w:r>
    </w:p>
    <w:p w:rsidR="0087621D" w:rsidRDefault="0087621D" w:rsidP="004D774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621D" w:rsidRDefault="0087621D" w:rsidP="004D774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cuota de la amortización sobre el revalúo resultará de dividir el valor del </w:t>
      </w:r>
      <w:r w:rsidR="004F7CB6">
        <w:rPr>
          <w:sz w:val="24"/>
          <w:szCs w:val="24"/>
        </w:rPr>
        <w:t>revalúo</w:t>
      </w:r>
      <w:r>
        <w:rPr>
          <w:sz w:val="24"/>
          <w:szCs w:val="24"/>
        </w:rPr>
        <w:t xml:space="preserve"> por:</w:t>
      </w:r>
    </w:p>
    <w:p w:rsidR="0087621D" w:rsidRDefault="0087621D" w:rsidP="0087621D">
      <w:pPr>
        <w:pStyle w:val="Prrafodelista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Los años de vida útil remanentes al cierre del periodo de la opción, o;</w:t>
      </w:r>
    </w:p>
    <w:p w:rsidR="0087621D" w:rsidRDefault="0087621D" w:rsidP="0087621D">
      <w:pPr>
        <w:pStyle w:val="Prrafodelista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Los años de vida útil restantes que determine el valuador independiente</w:t>
      </w:r>
    </w:p>
    <w:p w:rsidR="000A2147" w:rsidRPr="000A2147" w:rsidRDefault="000A2147" w:rsidP="000A2147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A2147" w:rsidRDefault="000A2147" w:rsidP="000A2147">
      <w:pPr>
        <w:widowControl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ningún caso el plazo de vida útil podrá ser inferior a </w:t>
      </w:r>
      <w:r w:rsidR="00043907">
        <w:rPr>
          <w:sz w:val="24"/>
          <w:szCs w:val="24"/>
        </w:rPr>
        <w:t>5</w:t>
      </w:r>
      <w:r>
        <w:rPr>
          <w:sz w:val="24"/>
          <w:szCs w:val="24"/>
        </w:rPr>
        <w:t xml:space="preserve"> años</w:t>
      </w:r>
      <w:r w:rsidR="004F7CB6">
        <w:rPr>
          <w:sz w:val="24"/>
          <w:szCs w:val="24"/>
        </w:rPr>
        <w:t>.</w:t>
      </w:r>
    </w:p>
    <w:p w:rsidR="000A2147" w:rsidRDefault="000A2147" w:rsidP="000A2147">
      <w:pPr>
        <w:widowControl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4D7741" w:rsidRPr="000A2147" w:rsidRDefault="000A2147" w:rsidP="00F50096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Tratándose de inmuebles que no posean el carácter de bien de cambio, o de intangibles, la amortización </w:t>
      </w:r>
      <w:r w:rsidR="00043907">
        <w:rPr>
          <w:sz w:val="24"/>
          <w:szCs w:val="24"/>
        </w:rPr>
        <w:t xml:space="preserve">del revalúo </w:t>
      </w:r>
      <w:r>
        <w:rPr>
          <w:sz w:val="24"/>
          <w:szCs w:val="24"/>
        </w:rPr>
        <w:t xml:space="preserve">podrá efectuarse en un plazo equivalente al </w:t>
      </w:r>
      <w:r w:rsidR="004F7CB6">
        <w:rPr>
          <w:sz w:val="24"/>
          <w:szCs w:val="24"/>
        </w:rPr>
        <w:t>50%</w:t>
      </w:r>
      <w:r>
        <w:rPr>
          <w:sz w:val="24"/>
          <w:szCs w:val="24"/>
        </w:rPr>
        <w:t xml:space="preserve"> de la vida útil remanente</w:t>
      </w:r>
      <w:r w:rsidR="00F50096">
        <w:rPr>
          <w:sz w:val="24"/>
          <w:szCs w:val="24"/>
        </w:rPr>
        <w:t xml:space="preserve"> </w:t>
      </w:r>
      <w:r w:rsidR="0087621D" w:rsidRPr="000A2147">
        <w:rPr>
          <w:sz w:val="24"/>
          <w:szCs w:val="24"/>
        </w:rPr>
        <w:t>a</w:t>
      </w:r>
      <w:r w:rsidR="00043907">
        <w:rPr>
          <w:sz w:val="24"/>
          <w:szCs w:val="24"/>
        </w:rPr>
        <w:t xml:space="preserve">l cierre del período de la opción o en </w:t>
      </w:r>
      <w:r w:rsidR="004F7CB6">
        <w:rPr>
          <w:sz w:val="24"/>
          <w:szCs w:val="24"/>
        </w:rPr>
        <w:t>10</w:t>
      </w:r>
      <w:r w:rsidR="00043907">
        <w:rPr>
          <w:sz w:val="24"/>
          <w:szCs w:val="24"/>
        </w:rPr>
        <w:t xml:space="preserve"> años, el plazo que resulte superior</w:t>
      </w:r>
      <w:r w:rsidR="004F7CB6">
        <w:rPr>
          <w:sz w:val="24"/>
          <w:szCs w:val="24"/>
        </w:rPr>
        <w:t>.</w:t>
      </w:r>
      <w:r w:rsidR="0087621D" w:rsidRPr="000A2147">
        <w:rPr>
          <w:sz w:val="24"/>
          <w:szCs w:val="24"/>
        </w:rPr>
        <w:t xml:space="preserve"> </w:t>
      </w:r>
    </w:p>
    <w:p w:rsidR="009C159F" w:rsidRDefault="009C159F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F312C" w:rsidRDefault="00CF312C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F312C" w:rsidRPr="00A933D4" w:rsidRDefault="00CF312C" w:rsidP="00CF312C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Enajenación de un bien revaluado</w:t>
      </w:r>
    </w:p>
    <w:p w:rsidR="00CF312C" w:rsidRDefault="00CF312C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F8145D" w:rsidRPr="00AF1B22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AF1B22">
        <w:rPr>
          <w:sz w:val="24"/>
          <w:szCs w:val="24"/>
        </w:rPr>
        <w:t xml:space="preserve">En el caso de producirse la enajenación de un bien sometido a este régimen en cualquiera de los </w:t>
      </w:r>
      <w:r w:rsidR="00CF312C" w:rsidRPr="00AF1B22">
        <w:rPr>
          <w:sz w:val="24"/>
          <w:szCs w:val="24"/>
        </w:rPr>
        <w:t>2</w:t>
      </w:r>
      <w:r w:rsidRPr="00AF1B22">
        <w:rPr>
          <w:sz w:val="24"/>
          <w:szCs w:val="24"/>
        </w:rPr>
        <w:t xml:space="preserve"> períodos</w:t>
      </w:r>
      <w:r w:rsidR="009C159F" w:rsidRPr="00AF1B22">
        <w:rPr>
          <w:sz w:val="24"/>
          <w:szCs w:val="24"/>
        </w:rPr>
        <w:t xml:space="preserve"> </w:t>
      </w:r>
      <w:r w:rsidRPr="00AF1B22">
        <w:rPr>
          <w:sz w:val="24"/>
          <w:szCs w:val="24"/>
        </w:rPr>
        <w:t>fiscales inmediatos siguientes al del período de la opción, el costo computable será determinado conforme al siguiente cálculo:</w:t>
      </w:r>
    </w:p>
    <w:p w:rsidR="00AF1B22" w:rsidRPr="00AF1B22" w:rsidRDefault="00AF1B22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AF1B22" w:rsidRDefault="00F8145D" w:rsidP="00AF1B22">
      <w:pPr>
        <w:pStyle w:val="Prrafodelista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B22">
        <w:rPr>
          <w:sz w:val="24"/>
          <w:szCs w:val="24"/>
        </w:rPr>
        <w:t>Si la enajenación se produce en el primer ejercicio posterior al del período de la opción, el importe del revalúo -neto de las</w:t>
      </w:r>
      <w:r w:rsidR="00CF312C" w:rsidRPr="00AF1B22">
        <w:rPr>
          <w:sz w:val="24"/>
          <w:szCs w:val="24"/>
        </w:rPr>
        <w:t xml:space="preserve"> </w:t>
      </w:r>
      <w:r w:rsidRPr="00AF1B22">
        <w:rPr>
          <w:sz w:val="24"/>
          <w:szCs w:val="24"/>
        </w:rPr>
        <w:t xml:space="preserve">amortizaciones computadas para la </w:t>
      </w:r>
      <w:r w:rsidRPr="00AF1B22">
        <w:rPr>
          <w:sz w:val="24"/>
          <w:szCs w:val="24"/>
        </w:rPr>
        <w:lastRenderedPageBreak/>
        <w:t>determinación del impuesto a las ganancias, se reducirá en un 60%. Si la enajenación se produce en el segundo ejercicio posterior, tal reducción s</w:t>
      </w:r>
      <w:r w:rsidR="00AF1B22" w:rsidRPr="00AF1B22">
        <w:rPr>
          <w:sz w:val="24"/>
          <w:szCs w:val="24"/>
        </w:rPr>
        <w:t>erá del 30%</w:t>
      </w:r>
      <w:r w:rsidRPr="00AF1B22">
        <w:rPr>
          <w:sz w:val="24"/>
          <w:szCs w:val="24"/>
        </w:rPr>
        <w:t>.</w:t>
      </w:r>
    </w:p>
    <w:p w:rsidR="00F8145D" w:rsidRPr="00AF1B22" w:rsidRDefault="00AF1B22" w:rsidP="00AF1B22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AF1B22">
        <w:rPr>
          <w:sz w:val="24"/>
          <w:szCs w:val="24"/>
        </w:rPr>
        <w:t xml:space="preserve">Dichas </w:t>
      </w:r>
      <w:r w:rsidR="00F8145D" w:rsidRPr="00AF1B22">
        <w:rPr>
          <w:sz w:val="24"/>
          <w:szCs w:val="24"/>
        </w:rPr>
        <w:t xml:space="preserve">reducciones </w:t>
      </w:r>
      <w:r w:rsidRPr="00AF1B22">
        <w:rPr>
          <w:sz w:val="24"/>
          <w:szCs w:val="24"/>
        </w:rPr>
        <w:t>n</w:t>
      </w:r>
      <w:r w:rsidR="00F8145D" w:rsidRPr="00AF1B22">
        <w:rPr>
          <w:sz w:val="24"/>
          <w:szCs w:val="24"/>
        </w:rPr>
        <w:t>o resultarán aplicables respecto de los inmuebles que revistan el carácter de bienes de</w:t>
      </w:r>
      <w:r w:rsidR="00CF312C" w:rsidRPr="00AF1B22">
        <w:rPr>
          <w:sz w:val="24"/>
          <w:szCs w:val="24"/>
        </w:rPr>
        <w:t xml:space="preserve"> </w:t>
      </w:r>
      <w:r w:rsidR="00F8145D" w:rsidRPr="00AF1B22">
        <w:rPr>
          <w:sz w:val="24"/>
          <w:szCs w:val="24"/>
        </w:rPr>
        <w:t>cambio.</w:t>
      </w:r>
    </w:p>
    <w:p w:rsidR="00F8145D" w:rsidRPr="00AF1B22" w:rsidRDefault="00F8145D" w:rsidP="00AF1B22">
      <w:pPr>
        <w:pStyle w:val="Prrafodelista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B22">
        <w:rPr>
          <w:sz w:val="24"/>
          <w:szCs w:val="24"/>
        </w:rPr>
        <w:t>Al importe que surja de lo dispuesto en el inciso precedente, se le adicionará el valor residual impositivo determinado en</w:t>
      </w:r>
      <w:r w:rsidR="00CF312C" w:rsidRPr="00AF1B22">
        <w:rPr>
          <w:sz w:val="24"/>
          <w:szCs w:val="24"/>
        </w:rPr>
        <w:t xml:space="preserve"> </w:t>
      </w:r>
      <w:r w:rsidRPr="00AF1B22">
        <w:rPr>
          <w:sz w:val="24"/>
          <w:szCs w:val="24"/>
        </w:rPr>
        <w:t>base al valor de origen, método y vida útil oportunamente adoptados para la determinación del impuesto a las ganancias.</w:t>
      </w:r>
    </w:p>
    <w:p w:rsidR="00E147F9" w:rsidRDefault="00E147F9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CB6" w:rsidRPr="00F8145D" w:rsidRDefault="004F7CB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47F9" w:rsidRPr="00A933D4" w:rsidRDefault="00E147F9" w:rsidP="00E147F9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Impuesto especial</w:t>
      </w:r>
    </w:p>
    <w:p w:rsidR="00E147F9" w:rsidRPr="00E147F9" w:rsidRDefault="00E147F9" w:rsidP="00E147F9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F8145D" w:rsidRP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El revalúo impositivo estará sujeto a un impuesto especial que se aplicará sobre el</w:t>
      </w:r>
      <w:r w:rsidR="00E147F9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importe del revalúo, respecto de todos los bienes revaluados, conforme las siguientes alícuotas:</w:t>
      </w:r>
    </w:p>
    <w:p w:rsidR="00E147F9" w:rsidRDefault="00E147F9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E147F9" w:rsidRDefault="00F8145D" w:rsidP="00E147F9">
      <w:pPr>
        <w:pStyle w:val="Prrafodelista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47F9">
        <w:rPr>
          <w:sz w:val="24"/>
          <w:szCs w:val="24"/>
        </w:rPr>
        <w:t xml:space="preserve">Bienes inmuebles que no posean el carácter de bienes de cambio: </w:t>
      </w:r>
      <w:r w:rsidR="00E147F9">
        <w:rPr>
          <w:sz w:val="24"/>
          <w:szCs w:val="24"/>
        </w:rPr>
        <w:t>8%</w:t>
      </w:r>
    </w:p>
    <w:p w:rsidR="00F8145D" w:rsidRPr="00E147F9" w:rsidRDefault="00F8145D" w:rsidP="00E147F9">
      <w:pPr>
        <w:pStyle w:val="Prrafodelista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47F9">
        <w:rPr>
          <w:sz w:val="24"/>
          <w:szCs w:val="24"/>
        </w:rPr>
        <w:t xml:space="preserve">Bienes inmuebles que posean el carácter de bienes de cambio: </w:t>
      </w:r>
      <w:r w:rsidR="00E147F9">
        <w:rPr>
          <w:sz w:val="24"/>
          <w:szCs w:val="24"/>
        </w:rPr>
        <w:t>15%</w:t>
      </w:r>
    </w:p>
    <w:p w:rsidR="00F8145D" w:rsidRPr="00E147F9" w:rsidRDefault="00F8145D" w:rsidP="00E147F9">
      <w:pPr>
        <w:pStyle w:val="Prrafodelista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47F9">
        <w:rPr>
          <w:sz w:val="24"/>
          <w:szCs w:val="24"/>
        </w:rPr>
        <w:t>Acciones, cuotas y participaciones sociales poseídas por personas humanas o sucesiones indivisas: 5%</w:t>
      </w:r>
    </w:p>
    <w:p w:rsidR="00F8145D" w:rsidRDefault="00F8145D" w:rsidP="00E147F9">
      <w:pPr>
        <w:pStyle w:val="Prrafodelista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47F9">
        <w:rPr>
          <w:sz w:val="24"/>
          <w:szCs w:val="24"/>
        </w:rPr>
        <w:t xml:space="preserve">Resto de bienes: </w:t>
      </w:r>
      <w:r w:rsidR="00E147F9">
        <w:rPr>
          <w:sz w:val="24"/>
          <w:szCs w:val="24"/>
        </w:rPr>
        <w:t>10%</w:t>
      </w:r>
    </w:p>
    <w:p w:rsidR="00E147F9" w:rsidRDefault="00E147F9" w:rsidP="00E147F9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47F9" w:rsidRPr="00AE0DE1" w:rsidRDefault="00E147F9" w:rsidP="00E147F9">
      <w:pPr>
        <w:widowControl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F8145D">
        <w:rPr>
          <w:sz w:val="24"/>
          <w:szCs w:val="24"/>
        </w:rPr>
        <w:t xml:space="preserve">El impuesto especial </w:t>
      </w:r>
      <w:r w:rsidRPr="00AE0DE1">
        <w:rPr>
          <w:sz w:val="24"/>
          <w:szCs w:val="24"/>
          <w:u w:val="single"/>
        </w:rPr>
        <w:t xml:space="preserve">no será deducible a los efectos de la liquidación del </w:t>
      </w:r>
      <w:r w:rsidR="00F61FC5" w:rsidRPr="00AE0DE1">
        <w:rPr>
          <w:sz w:val="24"/>
          <w:szCs w:val="24"/>
          <w:u w:val="single"/>
        </w:rPr>
        <w:t>I</w:t>
      </w:r>
      <w:r w:rsidRPr="00AE0DE1">
        <w:rPr>
          <w:sz w:val="24"/>
          <w:szCs w:val="24"/>
          <w:u w:val="single"/>
        </w:rPr>
        <w:t>mpuesto a las</w:t>
      </w:r>
    </w:p>
    <w:p w:rsidR="00E147F9" w:rsidRPr="00AE0DE1" w:rsidRDefault="00F61FC5" w:rsidP="00E147F9">
      <w:pPr>
        <w:widowControl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AE0DE1">
        <w:rPr>
          <w:sz w:val="24"/>
          <w:szCs w:val="24"/>
          <w:u w:val="single"/>
        </w:rPr>
        <w:t>G</w:t>
      </w:r>
      <w:r w:rsidR="00E147F9" w:rsidRPr="00AE0DE1">
        <w:rPr>
          <w:sz w:val="24"/>
          <w:szCs w:val="24"/>
          <w:u w:val="single"/>
        </w:rPr>
        <w:t>anancias.</w:t>
      </w:r>
    </w:p>
    <w:p w:rsidR="00E147F9" w:rsidRDefault="00E147F9" w:rsidP="00E147F9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37FF" w:rsidRDefault="004E37FF" w:rsidP="00E147F9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3A90" w:rsidRPr="00A933D4" w:rsidRDefault="00CA3A90" w:rsidP="00CA3A90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Otros datos de relevancia</w:t>
      </w:r>
    </w:p>
    <w:p w:rsidR="00E147F9" w:rsidRDefault="00E147F9" w:rsidP="00E147F9">
      <w:pPr>
        <w:pStyle w:val="Prrafodelista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3A90" w:rsidRDefault="00CA3A90" w:rsidP="00CA3A90">
      <w:pPr>
        <w:pStyle w:val="Prrafodelist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A3A90">
        <w:rPr>
          <w:sz w:val="24"/>
          <w:szCs w:val="24"/>
        </w:rPr>
        <w:t xml:space="preserve">La ganancia generada por el importe del revalúo estará exenta del impuesto a las ganancias y no se computará a efectos de la retención a que alude el primer artículo incorporado a continuación del artículo 69 de la </w:t>
      </w:r>
      <w:r w:rsidR="00125E7F">
        <w:rPr>
          <w:sz w:val="24"/>
          <w:szCs w:val="24"/>
        </w:rPr>
        <w:t>LIG (Impuesto de Igualación)</w:t>
      </w:r>
    </w:p>
    <w:p w:rsidR="004E37FF" w:rsidRDefault="00CA3A90" w:rsidP="00F8145D">
      <w:pPr>
        <w:pStyle w:val="Prrafodelist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A3A90">
        <w:rPr>
          <w:sz w:val="24"/>
          <w:szCs w:val="24"/>
        </w:rPr>
        <w:t xml:space="preserve">El importe del revalúo -neto de las amortizaciones - no será computable a los efectos de la liquidación del impuesto a la ganancia mínima presunta </w:t>
      </w:r>
    </w:p>
    <w:p w:rsidR="00F8145D" w:rsidRDefault="00F8145D" w:rsidP="00F8145D">
      <w:pPr>
        <w:pStyle w:val="Prrafodelist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E37FF">
        <w:rPr>
          <w:sz w:val="24"/>
          <w:szCs w:val="24"/>
        </w:rPr>
        <w:t>Quienes ejerzan la opción de revaluar sus bienes renuncian a promover</w:t>
      </w:r>
      <w:r w:rsidR="00A60DE1" w:rsidRPr="004E37FF">
        <w:rPr>
          <w:sz w:val="24"/>
          <w:szCs w:val="24"/>
        </w:rPr>
        <w:t xml:space="preserve"> </w:t>
      </w:r>
      <w:r w:rsidRPr="004E37FF">
        <w:rPr>
          <w:sz w:val="24"/>
          <w:szCs w:val="24"/>
        </w:rPr>
        <w:t>cualquier proceso judicial o administrativo por el cual se reclame, con fines impositivos, la aplicación de procedimientos de</w:t>
      </w:r>
      <w:r w:rsidR="00A60DE1" w:rsidRPr="004E37FF">
        <w:rPr>
          <w:sz w:val="24"/>
          <w:szCs w:val="24"/>
        </w:rPr>
        <w:t xml:space="preserve"> </w:t>
      </w:r>
      <w:r w:rsidRPr="004E37FF">
        <w:rPr>
          <w:sz w:val="24"/>
          <w:szCs w:val="24"/>
        </w:rPr>
        <w:t>actualización de cualquier naturaleza</w:t>
      </w:r>
      <w:r w:rsidR="00125E7F">
        <w:rPr>
          <w:sz w:val="24"/>
          <w:szCs w:val="24"/>
        </w:rPr>
        <w:t xml:space="preserve"> (AxI)</w:t>
      </w:r>
      <w:r w:rsidRPr="004E37FF">
        <w:rPr>
          <w:sz w:val="24"/>
          <w:szCs w:val="24"/>
        </w:rPr>
        <w:t xml:space="preserve">, respecto </w:t>
      </w:r>
      <w:r w:rsidR="00861168">
        <w:rPr>
          <w:sz w:val="24"/>
          <w:szCs w:val="24"/>
        </w:rPr>
        <w:t>del período de la opción, y siguientes, mientras se c</w:t>
      </w:r>
      <w:r w:rsidR="004F7CB6">
        <w:rPr>
          <w:sz w:val="24"/>
          <w:szCs w:val="24"/>
        </w:rPr>
        <w:t>alcule amortización del revalúo o su inclusión como costo computable.</w:t>
      </w:r>
    </w:p>
    <w:p w:rsidR="00861168" w:rsidRPr="00861168" w:rsidRDefault="00861168" w:rsidP="00861168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1168">
        <w:rPr>
          <w:sz w:val="24"/>
          <w:szCs w:val="24"/>
        </w:rPr>
        <w:t xml:space="preserve">Los sujetos que hayan promovido tales procesos, respecto de ejercicios fiscales </w:t>
      </w:r>
      <w:r>
        <w:rPr>
          <w:sz w:val="24"/>
          <w:szCs w:val="24"/>
        </w:rPr>
        <w:tab/>
      </w:r>
      <w:r w:rsidRPr="00861168">
        <w:rPr>
          <w:sz w:val="24"/>
          <w:szCs w:val="24"/>
        </w:rPr>
        <w:t>anteriores, deberán desistir de esas acciones.</w:t>
      </w:r>
    </w:p>
    <w:p w:rsidR="00F61FC5" w:rsidRPr="00F61FC5" w:rsidRDefault="00F61FC5" w:rsidP="00F61FC5">
      <w:pPr>
        <w:pStyle w:val="Prrafodelist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FC5">
        <w:rPr>
          <w:sz w:val="24"/>
          <w:szCs w:val="24"/>
        </w:rPr>
        <w:t>L</w:t>
      </w:r>
      <w:r w:rsidR="00AE0DE1">
        <w:rPr>
          <w:sz w:val="24"/>
          <w:szCs w:val="24"/>
        </w:rPr>
        <w:t xml:space="preserve">a amortización de los bienes </w:t>
      </w:r>
      <w:r w:rsidRPr="00F61FC5">
        <w:rPr>
          <w:sz w:val="24"/>
          <w:szCs w:val="24"/>
        </w:rPr>
        <w:t>revaluados se</w:t>
      </w:r>
      <w:r w:rsidR="00AE0DE1">
        <w:rPr>
          <w:sz w:val="24"/>
          <w:szCs w:val="24"/>
        </w:rPr>
        <w:t xml:space="preserve"> </w:t>
      </w:r>
      <w:r w:rsidR="004F7CB6">
        <w:rPr>
          <w:sz w:val="24"/>
          <w:szCs w:val="24"/>
        </w:rPr>
        <w:t>podrán seguir ajustando</w:t>
      </w:r>
      <w:r w:rsidR="00AE0DE1">
        <w:rPr>
          <w:sz w:val="24"/>
          <w:szCs w:val="24"/>
        </w:rPr>
        <w:t xml:space="preserve"> a partir del </w:t>
      </w:r>
      <w:r w:rsidRPr="00F61FC5">
        <w:rPr>
          <w:sz w:val="24"/>
          <w:szCs w:val="24"/>
        </w:rPr>
        <w:t>1 de enero de 2018 o el primer día del ejercicio fiscal siguiente al período de la opción, según corresponda.</w:t>
      </w:r>
    </w:p>
    <w:p w:rsidR="004E37FF" w:rsidRDefault="004E37FF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47F9" w:rsidRDefault="00E147F9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CB6" w:rsidRDefault="004F7CB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CB6" w:rsidRDefault="004F7CB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CB6" w:rsidRDefault="004F7CB6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Default="00F8145D" w:rsidP="00E147F9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47F9">
        <w:rPr>
          <w:b/>
          <w:sz w:val="24"/>
          <w:szCs w:val="24"/>
        </w:rPr>
        <w:lastRenderedPageBreak/>
        <w:t>Revalúo contable</w:t>
      </w:r>
    </w:p>
    <w:p w:rsidR="00E147F9" w:rsidRPr="00E147F9" w:rsidRDefault="00E147F9" w:rsidP="00E147F9">
      <w:pPr>
        <w:pStyle w:val="Prrafodelista"/>
        <w:widowControl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 xml:space="preserve">Los sujetos que lleven registraciones contables que les permitan confeccionar balances comerciales </w:t>
      </w:r>
      <w:r w:rsidRPr="00B708C2">
        <w:rPr>
          <w:sz w:val="24"/>
          <w:szCs w:val="24"/>
          <w:u w:val="single"/>
        </w:rPr>
        <w:t>podrán ejercer</w:t>
      </w:r>
      <w:r w:rsidR="00E147F9" w:rsidRPr="00B708C2">
        <w:rPr>
          <w:sz w:val="24"/>
          <w:szCs w:val="24"/>
          <w:u w:val="single"/>
        </w:rPr>
        <w:t xml:space="preserve"> </w:t>
      </w:r>
      <w:r w:rsidRPr="00B708C2">
        <w:rPr>
          <w:sz w:val="24"/>
          <w:szCs w:val="24"/>
          <w:u w:val="single"/>
        </w:rPr>
        <w:t>por única vez la opción de revaluar</w:t>
      </w:r>
      <w:r w:rsidRPr="00F8145D">
        <w:rPr>
          <w:sz w:val="24"/>
          <w:szCs w:val="24"/>
        </w:rPr>
        <w:t>, a los efectos contables, los bienes incorporados en el activo del respectivo ente, conforme lo</w:t>
      </w:r>
      <w:r w:rsidR="00E147F9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determine la reglamentación y las normas contables profesionales.</w:t>
      </w:r>
    </w:p>
    <w:p w:rsidR="00B708C2" w:rsidRDefault="00B708C2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8C2" w:rsidRDefault="00B708C2" w:rsidP="00B708C2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Dicha </w:t>
      </w:r>
      <w:r w:rsidRPr="00F8145D">
        <w:rPr>
          <w:sz w:val="24"/>
          <w:szCs w:val="24"/>
        </w:rPr>
        <w:t xml:space="preserve">opción </w:t>
      </w:r>
      <w:r w:rsidRPr="00B708C2">
        <w:rPr>
          <w:sz w:val="24"/>
          <w:szCs w:val="24"/>
          <w:u w:val="single"/>
        </w:rPr>
        <w:t>solo puede ejercerse para el primer ejercicio comercial cerrado</w:t>
      </w:r>
      <w:r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con posterioridad a la entrada en vigencia de esta ley</w:t>
      </w:r>
      <w:r w:rsidR="00BA0272">
        <w:rPr>
          <w:sz w:val="24"/>
          <w:szCs w:val="24"/>
        </w:rPr>
        <w:t xml:space="preserve"> (30/12/2017)</w:t>
      </w:r>
      <w:r w:rsidRPr="00F8145D">
        <w:rPr>
          <w:sz w:val="24"/>
          <w:szCs w:val="24"/>
        </w:rPr>
        <w:t>.</w:t>
      </w:r>
    </w:p>
    <w:p w:rsidR="00E147F9" w:rsidRDefault="00E147F9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145D" w:rsidRPr="00F8145D" w:rsidRDefault="00F8145D" w:rsidP="00F8145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8145D">
        <w:rPr>
          <w:sz w:val="24"/>
          <w:szCs w:val="24"/>
        </w:rPr>
        <w:t>La contrapartida de la aplicación del régimen de revalúo establecido en esta norma legal se imputará a una reserva</w:t>
      </w:r>
      <w:r w:rsidR="00E147F9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específica dentro del patrimonio neto, cuyo importe no podrá ser distribuido y tendrá el destino que a tal efecto establezca la</w:t>
      </w:r>
      <w:r w:rsidR="00E147F9">
        <w:rPr>
          <w:sz w:val="24"/>
          <w:szCs w:val="24"/>
        </w:rPr>
        <w:t xml:space="preserve"> </w:t>
      </w:r>
      <w:r w:rsidRPr="00F8145D">
        <w:rPr>
          <w:sz w:val="24"/>
          <w:szCs w:val="24"/>
        </w:rPr>
        <w:t>reglamentación.</w:t>
      </w:r>
    </w:p>
    <w:p w:rsidR="00CC072D" w:rsidRDefault="00CC072D" w:rsidP="00F8145D">
      <w:pPr>
        <w:jc w:val="both"/>
        <w:rPr>
          <w:sz w:val="24"/>
          <w:szCs w:val="24"/>
        </w:rPr>
      </w:pPr>
    </w:p>
    <w:p w:rsidR="008C07BC" w:rsidRDefault="008C07BC" w:rsidP="00F8145D">
      <w:pPr>
        <w:jc w:val="both"/>
        <w:rPr>
          <w:sz w:val="24"/>
          <w:szCs w:val="24"/>
        </w:rPr>
      </w:pPr>
    </w:p>
    <w:p w:rsidR="008C07BC" w:rsidRDefault="008C07BC" w:rsidP="00F8145D">
      <w:pPr>
        <w:jc w:val="both"/>
        <w:rPr>
          <w:sz w:val="24"/>
          <w:szCs w:val="24"/>
        </w:rPr>
      </w:pPr>
    </w:p>
    <w:p w:rsidR="008C07BC" w:rsidRDefault="008C07BC" w:rsidP="00F8145D">
      <w:pPr>
        <w:jc w:val="both"/>
        <w:rPr>
          <w:sz w:val="24"/>
          <w:szCs w:val="24"/>
        </w:rPr>
      </w:pPr>
    </w:p>
    <w:p w:rsidR="008C07BC" w:rsidRDefault="008C07BC" w:rsidP="00F8145D">
      <w:pPr>
        <w:jc w:val="both"/>
        <w:rPr>
          <w:sz w:val="24"/>
          <w:szCs w:val="24"/>
        </w:rPr>
      </w:pPr>
    </w:p>
    <w:p w:rsidR="008C07BC" w:rsidRDefault="008C07BC" w:rsidP="008C07BC">
      <w:pPr>
        <w:jc w:val="both"/>
        <w:rPr>
          <w:sz w:val="24"/>
        </w:rPr>
      </w:pPr>
      <w:r>
        <w:rPr>
          <w:sz w:val="24"/>
        </w:rPr>
        <w:t>Buenos Aires, 12 de marzo de 2018.</w:t>
      </w:r>
    </w:p>
    <w:p w:rsidR="008C07BC" w:rsidRPr="00F8145D" w:rsidRDefault="008C07BC" w:rsidP="00F8145D">
      <w:pPr>
        <w:jc w:val="both"/>
        <w:rPr>
          <w:sz w:val="24"/>
          <w:szCs w:val="24"/>
        </w:rPr>
      </w:pPr>
    </w:p>
    <w:sectPr w:rsidR="008C07BC" w:rsidRPr="00F8145D" w:rsidSect="00CC0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EEF"/>
    <w:multiLevelType w:val="hybridMultilevel"/>
    <w:tmpl w:val="D81E7E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1FE"/>
    <w:multiLevelType w:val="hybridMultilevel"/>
    <w:tmpl w:val="0498B6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0980"/>
    <w:multiLevelType w:val="hybridMultilevel"/>
    <w:tmpl w:val="677A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3989"/>
    <w:multiLevelType w:val="hybridMultilevel"/>
    <w:tmpl w:val="E3FCC3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0BC"/>
    <w:multiLevelType w:val="hybridMultilevel"/>
    <w:tmpl w:val="1C146C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B699A"/>
    <w:multiLevelType w:val="hybridMultilevel"/>
    <w:tmpl w:val="0498B6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9782D"/>
    <w:multiLevelType w:val="hybridMultilevel"/>
    <w:tmpl w:val="26CA5F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598A"/>
    <w:multiLevelType w:val="hybridMultilevel"/>
    <w:tmpl w:val="F7422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C6E35"/>
    <w:multiLevelType w:val="hybridMultilevel"/>
    <w:tmpl w:val="9A82F9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749E3"/>
    <w:multiLevelType w:val="hybridMultilevel"/>
    <w:tmpl w:val="7B1A32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66C443C6"/>
    <w:multiLevelType w:val="hybridMultilevel"/>
    <w:tmpl w:val="876484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2BC1"/>
    <w:multiLevelType w:val="hybridMultilevel"/>
    <w:tmpl w:val="EABAA6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94016"/>
    <w:multiLevelType w:val="hybridMultilevel"/>
    <w:tmpl w:val="19CE60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321"/>
    <w:rsid w:val="000261D4"/>
    <w:rsid w:val="00026D9D"/>
    <w:rsid w:val="00043907"/>
    <w:rsid w:val="000A2147"/>
    <w:rsid w:val="00125E7F"/>
    <w:rsid w:val="00163321"/>
    <w:rsid w:val="001866B6"/>
    <w:rsid w:val="00231456"/>
    <w:rsid w:val="00260F7B"/>
    <w:rsid w:val="004D7741"/>
    <w:rsid w:val="004E37FF"/>
    <w:rsid w:val="004F7CB6"/>
    <w:rsid w:val="004F7CD8"/>
    <w:rsid w:val="006C6E50"/>
    <w:rsid w:val="006D6C6F"/>
    <w:rsid w:val="00777B0B"/>
    <w:rsid w:val="00811AB2"/>
    <w:rsid w:val="00861168"/>
    <w:rsid w:val="00867D9D"/>
    <w:rsid w:val="0087621D"/>
    <w:rsid w:val="008C07BC"/>
    <w:rsid w:val="009C159F"/>
    <w:rsid w:val="00A60DE1"/>
    <w:rsid w:val="00A933D4"/>
    <w:rsid w:val="00AE0DE1"/>
    <w:rsid w:val="00AE6946"/>
    <w:rsid w:val="00AF1B22"/>
    <w:rsid w:val="00B708C2"/>
    <w:rsid w:val="00BA0272"/>
    <w:rsid w:val="00C37D06"/>
    <w:rsid w:val="00CA3A90"/>
    <w:rsid w:val="00CC072D"/>
    <w:rsid w:val="00CC0835"/>
    <w:rsid w:val="00CF312C"/>
    <w:rsid w:val="00D41628"/>
    <w:rsid w:val="00DF0BB7"/>
    <w:rsid w:val="00E147F9"/>
    <w:rsid w:val="00F50096"/>
    <w:rsid w:val="00F61FC5"/>
    <w:rsid w:val="00F8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163321"/>
    <w:pPr>
      <w:keepNext/>
      <w:numPr>
        <w:numId w:val="1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163321"/>
    <w:pPr>
      <w:keepNext/>
      <w:numPr>
        <w:ilvl w:val="1"/>
        <w:numId w:val="1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163321"/>
    <w:pPr>
      <w:keepNext/>
      <w:numPr>
        <w:ilvl w:val="2"/>
        <w:numId w:val="1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163321"/>
    <w:pPr>
      <w:keepNext/>
      <w:numPr>
        <w:ilvl w:val="3"/>
        <w:numId w:val="1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163321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163321"/>
    <w:pPr>
      <w:keepNext/>
      <w:numPr>
        <w:ilvl w:val="5"/>
        <w:numId w:val="1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163321"/>
    <w:pPr>
      <w:keepNext/>
      <w:numPr>
        <w:ilvl w:val="6"/>
        <w:numId w:val="1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163321"/>
    <w:pPr>
      <w:keepNext/>
      <w:numPr>
        <w:ilvl w:val="7"/>
        <w:numId w:val="1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163321"/>
    <w:pPr>
      <w:keepNext/>
      <w:numPr>
        <w:ilvl w:val="8"/>
        <w:numId w:val="1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3321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basedOn w:val="Fuentedeprrafopredeter"/>
    <w:link w:val="Ttulo2"/>
    <w:rsid w:val="00163321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3Car">
    <w:name w:val="Título 3 Car"/>
    <w:basedOn w:val="Fuentedeprrafopredeter"/>
    <w:link w:val="Ttulo3"/>
    <w:rsid w:val="00163321"/>
    <w:rPr>
      <w:rFonts w:ascii="Times New Roman" w:eastAsia="Times New Roman" w:hAnsi="Times New Roman" w:cs="Times New Roman"/>
      <w:b/>
      <w:sz w:val="24"/>
      <w:szCs w:val="20"/>
      <w:u w:val="single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163321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rsid w:val="00163321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6Car">
    <w:name w:val="Título 6 Car"/>
    <w:basedOn w:val="Fuentedeprrafopredeter"/>
    <w:link w:val="Ttulo6"/>
    <w:rsid w:val="00163321"/>
    <w:rPr>
      <w:rFonts w:ascii="Times New Roman" w:eastAsia="Times New Roman" w:hAnsi="Times New Roman" w:cs="Times New Roman"/>
      <w:i/>
      <w:sz w:val="24"/>
      <w:szCs w:val="20"/>
      <w:lang w:val="es-AR" w:eastAsia="es-AR"/>
    </w:rPr>
  </w:style>
  <w:style w:type="character" w:customStyle="1" w:styleId="Ttulo7Car">
    <w:name w:val="Título 7 Car"/>
    <w:basedOn w:val="Fuentedeprrafopredeter"/>
    <w:link w:val="Ttulo7"/>
    <w:rsid w:val="00163321"/>
    <w:rPr>
      <w:rFonts w:ascii="Times New Roman" w:eastAsia="Times New Roman" w:hAnsi="Times New Roman" w:cs="Times New Roman"/>
      <w:b/>
      <w:sz w:val="24"/>
      <w:szCs w:val="20"/>
      <w:lang w:val="es-AR" w:eastAsia="es-AR"/>
    </w:rPr>
  </w:style>
  <w:style w:type="character" w:customStyle="1" w:styleId="Ttulo8Car">
    <w:name w:val="Título 8 Car"/>
    <w:basedOn w:val="Fuentedeprrafopredeter"/>
    <w:link w:val="Ttulo8"/>
    <w:rsid w:val="00163321"/>
    <w:rPr>
      <w:rFonts w:ascii="Times New Roman" w:eastAsia="Times New Roman" w:hAnsi="Times New Roman" w:cs="Times New Roman"/>
      <w:b/>
      <w:sz w:val="24"/>
      <w:szCs w:val="20"/>
      <w:u w:val="single"/>
      <w:lang w:val="es-AR" w:eastAsia="es-AR"/>
    </w:rPr>
  </w:style>
  <w:style w:type="character" w:customStyle="1" w:styleId="Ttulo9Car">
    <w:name w:val="Título 9 Car"/>
    <w:basedOn w:val="Fuentedeprrafopredeter"/>
    <w:link w:val="Ttulo9"/>
    <w:rsid w:val="00163321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rsid w:val="00163321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63321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F814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1417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Fontao</dc:creator>
  <cp:lastModifiedBy>Paola Fontao</cp:lastModifiedBy>
  <cp:revision>25</cp:revision>
  <dcterms:created xsi:type="dcterms:W3CDTF">2018-03-12T18:51:00Z</dcterms:created>
  <dcterms:modified xsi:type="dcterms:W3CDTF">2018-03-14T16:46:00Z</dcterms:modified>
</cp:coreProperties>
</file>